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1134" w:tblpY="284"/>
        <w:tblOverlap w:val="never"/>
        <w:tblW w:w="9639" w:type="dxa"/>
        <w:tblLayout w:type="fixed"/>
        <w:tblLook w:val="01E0" w:firstRow="1" w:lastRow="1" w:firstColumn="1" w:lastColumn="1" w:noHBand="0" w:noVBand="0"/>
      </w:tblPr>
      <w:tblGrid>
        <w:gridCol w:w="6709"/>
        <w:gridCol w:w="2930"/>
      </w:tblGrid>
      <w:tr w:rsidR="00CC7B8D" w14:paraId="1729B919" w14:textId="77777777" w:rsidTr="3E56B61F">
        <w:trPr>
          <w:trHeight w:val="851"/>
        </w:trPr>
        <w:tc>
          <w:tcPr>
            <w:tcW w:w="9639" w:type="dxa"/>
            <w:gridSpan w:val="2"/>
            <w:tcBorders>
              <w:top w:val="nil"/>
              <w:left w:val="nil"/>
              <w:bottom w:val="single" w:sz="4" w:space="0" w:color="auto"/>
              <w:right w:val="nil"/>
            </w:tcBorders>
            <w:vAlign w:val="bottom"/>
          </w:tcPr>
          <w:p w14:paraId="03600EF0" w14:textId="4E9C43F5" w:rsidR="00CC7B8D" w:rsidRPr="002D6BE9" w:rsidRDefault="226A8956" w:rsidP="00775674">
            <w:pPr>
              <w:jc w:val="right"/>
            </w:pPr>
            <w:r w:rsidRPr="3E56B61F">
              <w:rPr>
                <w:sz w:val="40"/>
                <w:szCs w:val="40"/>
              </w:rPr>
              <w:t>CCM</w:t>
            </w:r>
            <w:r>
              <w:t>/MSP/202</w:t>
            </w:r>
            <w:r w:rsidR="1DF5F576">
              <w:t>4</w:t>
            </w:r>
            <w:r>
              <w:t>/</w:t>
            </w:r>
            <w:r w:rsidR="209F72C1">
              <w:t>1</w:t>
            </w:r>
            <w:r w:rsidR="62E22F0C">
              <w:t>1</w:t>
            </w:r>
          </w:p>
        </w:tc>
      </w:tr>
      <w:tr w:rsidR="00AD715B" w14:paraId="5F852A70" w14:textId="77777777" w:rsidTr="3E56B61F">
        <w:trPr>
          <w:trHeight w:val="2835"/>
        </w:trPr>
        <w:tc>
          <w:tcPr>
            <w:tcW w:w="6709" w:type="dxa"/>
            <w:tcBorders>
              <w:top w:val="single" w:sz="4" w:space="0" w:color="auto"/>
              <w:left w:val="nil"/>
              <w:bottom w:val="single" w:sz="12" w:space="0" w:color="auto"/>
              <w:right w:val="nil"/>
            </w:tcBorders>
          </w:tcPr>
          <w:p w14:paraId="36AEB87E" w14:textId="77777777" w:rsidR="00AD715B" w:rsidRPr="002126BB" w:rsidRDefault="009273BC" w:rsidP="00AD715B">
            <w:pPr>
              <w:spacing w:before="120" w:line="340" w:lineRule="exact"/>
              <w:rPr>
                <w:rFonts w:ascii="Times New Roman Bold" w:hAnsi="Times New Roman Bold"/>
                <w:b/>
                <w:sz w:val="30"/>
                <w:szCs w:val="40"/>
              </w:rPr>
            </w:pPr>
            <w:r w:rsidRPr="002F195F">
              <w:rPr>
                <w:b/>
                <w:sz w:val="34"/>
                <w:szCs w:val="40"/>
              </w:rPr>
              <w:t>Convention on Cluster Munitions</w:t>
            </w:r>
          </w:p>
        </w:tc>
        <w:tc>
          <w:tcPr>
            <w:tcW w:w="2930" w:type="dxa"/>
            <w:tcBorders>
              <w:top w:val="single" w:sz="4" w:space="0" w:color="auto"/>
              <w:left w:val="nil"/>
              <w:bottom w:val="single" w:sz="12" w:space="0" w:color="auto"/>
              <w:right w:val="nil"/>
            </w:tcBorders>
          </w:tcPr>
          <w:p w14:paraId="55429F8D" w14:textId="59F2A8A0" w:rsidR="00AD715B" w:rsidRDefault="1DF5F576" w:rsidP="00775674">
            <w:pPr>
              <w:spacing w:before="240" w:line="240" w:lineRule="exact"/>
            </w:pPr>
            <w:r>
              <w:t>1</w:t>
            </w:r>
            <w:r w:rsidR="003B64AC">
              <w:t>8</w:t>
            </w:r>
            <w:r w:rsidR="226A8956">
              <w:t xml:space="preserve"> September 202</w:t>
            </w:r>
            <w:r>
              <w:t>4</w:t>
            </w:r>
          </w:p>
          <w:p w14:paraId="432A5FAF" w14:textId="77777777" w:rsidR="00775674" w:rsidRDefault="00775674" w:rsidP="00775674">
            <w:pPr>
              <w:spacing w:line="240" w:lineRule="exact"/>
            </w:pPr>
          </w:p>
          <w:p w14:paraId="67E88D64" w14:textId="4BA58F5F" w:rsidR="00775674" w:rsidRDefault="00775674" w:rsidP="00775674">
            <w:pPr>
              <w:spacing w:line="240" w:lineRule="exact"/>
            </w:pPr>
            <w:r>
              <w:t>Original: English</w:t>
            </w:r>
          </w:p>
        </w:tc>
      </w:tr>
    </w:tbl>
    <w:p w14:paraId="37167AB8" w14:textId="755EB14E" w:rsidR="00775674" w:rsidRPr="00C55A41" w:rsidRDefault="00557F7B" w:rsidP="00775674">
      <w:pPr>
        <w:autoSpaceDE w:val="0"/>
        <w:autoSpaceDN w:val="0"/>
        <w:adjustRightInd w:val="0"/>
        <w:spacing w:line="240" w:lineRule="auto"/>
        <w:rPr>
          <w:rFonts w:asciiTheme="majorBidi" w:eastAsia="Times New Roman" w:hAnsiTheme="majorBidi" w:cstheme="majorBidi"/>
          <w:color w:val="000000"/>
          <w:lang w:eastAsia="fr-FR"/>
        </w:rPr>
      </w:pPr>
      <w:r>
        <w:rPr>
          <w:rFonts w:asciiTheme="majorBidi" w:eastAsia="Times New Roman" w:hAnsiTheme="majorBidi" w:cstheme="majorBidi"/>
          <w:b/>
          <w:bCs/>
          <w:color w:val="000000"/>
          <w:lang w:eastAsia="fr-FR"/>
        </w:rPr>
        <w:t>Twelfth</w:t>
      </w:r>
      <w:r w:rsidR="00775674" w:rsidRPr="00C55A41">
        <w:rPr>
          <w:rFonts w:asciiTheme="majorBidi" w:eastAsia="Times New Roman" w:hAnsiTheme="majorBidi" w:cstheme="majorBidi"/>
          <w:b/>
          <w:bCs/>
          <w:color w:val="000000"/>
          <w:lang w:eastAsia="fr-FR"/>
        </w:rPr>
        <w:t xml:space="preserve"> Meeting of States Parties</w:t>
      </w:r>
    </w:p>
    <w:p w14:paraId="746EB431" w14:textId="49935189" w:rsidR="00775674" w:rsidRPr="00C55A41" w:rsidRDefault="00775674" w:rsidP="00775674">
      <w:pPr>
        <w:autoSpaceDE w:val="0"/>
        <w:autoSpaceDN w:val="0"/>
        <w:adjustRightInd w:val="0"/>
        <w:spacing w:line="240" w:lineRule="auto"/>
        <w:rPr>
          <w:rFonts w:asciiTheme="majorBidi" w:eastAsia="Times New Roman" w:hAnsiTheme="majorBidi" w:cstheme="majorBidi"/>
          <w:b/>
          <w:bCs/>
          <w:color w:val="000000"/>
          <w:lang w:eastAsia="fr-FR"/>
        </w:rPr>
      </w:pPr>
      <w:r w:rsidRPr="00C55A41">
        <w:rPr>
          <w:rFonts w:asciiTheme="majorBidi" w:eastAsia="Times New Roman" w:hAnsiTheme="majorBidi" w:cstheme="majorBidi"/>
          <w:b/>
          <w:bCs/>
          <w:color w:val="000000"/>
          <w:lang w:eastAsia="fr-FR"/>
        </w:rPr>
        <w:t>Geneva, 1</w:t>
      </w:r>
      <w:r w:rsidR="00557F7B">
        <w:rPr>
          <w:rFonts w:asciiTheme="majorBidi" w:eastAsia="Times New Roman" w:hAnsiTheme="majorBidi" w:cstheme="majorBidi"/>
          <w:b/>
          <w:bCs/>
          <w:color w:val="000000"/>
          <w:lang w:eastAsia="fr-FR"/>
        </w:rPr>
        <w:t>0</w:t>
      </w:r>
      <w:r w:rsidRPr="00C55A41">
        <w:rPr>
          <w:rFonts w:asciiTheme="majorBidi" w:eastAsia="Times New Roman" w:hAnsiTheme="majorBidi" w:cstheme="majorBidi"/>
          <w:b/>
          <w:bCs/>
          <w:color w:val="000000"/>
          <w:lang w:eastAsia="fr-FR"/>
        </w:rPr>
        <w:t>-1</w:t>
      </w:r>
      <w:r w:rsidR="00557F7B">
        <w:rPr>
          <w:rFonts w:asciiTheme="majorBidi" w:eastAsia="Times New Roman" w:hAnsiTheme="majorBidi" w:cstheme="majorBidi"/>
          <w:b/>
          <w:bCs/>
          <w:color w:val="000000"/>
          <w:lang w:eastAsia="fr-FR"/>
        </w:rPr>
        <w:t>3</w:t>
      </w:r>
      <w:r w:rsidRPr="00C55A41">
        <w:rPr>
          <w:rFonts w:asciiTheme="majorBidi" w:eastAsia="Times New Roman" w:hAnsiTheme="majorBidi" w:cstheme="majorBidi"/>
          <w:b/>
          <w:bCs/>
          <w:color w:val="000000"/>
          <w:lang w:eastAsia="fr-FR"/>
        </w:rPr>
        <w:t xml:space="preserve"> September 202</w:t>
      </w:r>
      <w:r w:rsidR="00557F7B">
        <w:rPr>
          <w:rFonts w:asciiTheme="majorBidi" w:eastAsia="Times New Roman" w:hAnsiTheme="majorBidi" w:cstheme="majorBidi"/>
          <w:b/>
          <w:bCs/>
          <w:color w:val="000000"/>
          <w:lang w:eastAsia="fr-FR"/>
        </w:rPr>
        <w:t>4</w:t>
      </w:r>
    </w:p>
    <w:p w14:paraId="5603A35A" w14:textId="01737B6C" w:rsidR="00775674" w:rsidRPr="00775674" w:rsidRDefault="00C55A41" w:rsidP="00775674">
      <w:pPr>
        <w:suppressAutoHyphens/>
        <w:rPr>
          <w:rFonts w:asciiTheme="majorBidi" w:eastAsia="Times New Roman" w:hAnsiTheme="majorBidi" w:cstheme="majorBidi"/>
        </w:rPr>
      </w:pPr>
      <w:r>
        <w:rPr>
          <w:rFonts w:asciiTheme="majorBidi" w:eastAsia="Times New Roman" w:hAnsiTheme="majorBidi" w:cstheme="majorBidi"/>
          <w:bdr w:val="none" w:sz="0" w:space="0" w:color="auto" w:frame="1"/>
        </w:rPr>
        <w:t xml:space="preserve">Agenda </w:t>
      </w:r>
      <w:r w:rsidR="00775674" w:rsidRPr="00775674">
        <w:rPr>
          <w:rFonts w:asciiTheme="majorBidi" w:eastAsia="Times New Roman" w:hAnsiTheme="majorBidi" w:cstheme="majorBidi"/>
          <w:bdr w:val="none" w:sz="0" w:space="0" w:color="auto" w:frame="1"/>
        </w:rPr>
        <w:t>Item 14</w:t>
      </w:r>
    </w:p>
    <w:p w14:paraId="649E8EBB" w14:textId="77777777" w:rsidR="00775674" w:rsidRPr="00775674" w:rsidRDefault="00775674" w:rsidP="00775674">
      <w:pPr>
        <w:suppressAutoHyphens/>
        <w:rPr>
          <w:rFonts w:asciiTheme="majorBidi" w:eastAsia="Times New Roman" w:hAnsiTheme="majorBidi" w:cstheme="majorBidi"/>
          <w:b/>
          <w:bCs/>
        </w:rPr>
      </w:pPr>
      <w:r w:rsidRPr="00775674">
        <w:rPr>
          <w:rFonts w:asciiTheme="majorBidi" w:eastAsia="Times New Roman" w:hAnsiTheme="majorBidi" w:cstheme="majorBidi"/>
          <w:b/>
          <w:bCs/>
        </w:rPr>
        <w:t>Consideration and adoption of the final document of the Meeting</w:t>
      </w:r>
    </w:p>
    <w:p w14:paraId="31D69060" w14:textId="7221AA06" w:rsidR="00775674" w:rsidRPr="00775674" w:rsidRDefault="00775674" w:rsidP="3E56B61F">
      <w:pPr>
        <w:keepNext/>
        <w:keepLines/>
        <w:tabs>
          <w:tab w:val="right" w:pos="851"/>
        </w:tabs>
        <w:spacing w:before="240" w:after="240" w:line="360" w:lineRule="exact"/>
        <w:ind w:left="1134" w:right="1134" w:hanging="1134"/>
        <w:outlineLvl w:val="0"/>
        <w:rPr>
          <w:rFonts w:asciiTheme="majorBidi" w:eastAsia="Calibri" w:hAnsiTheme="majorBidi" w:cstheme="majorBidi"/>
          <w:b/>
          <w:bCs/>
          <w:sz w:val="34"/>
          <w:szCs w:val="34"/>
        </w:rPr>
      </w:pPr>
      <w:r w:rsidRPr="00775674">
        <w:rPr>
          <w:rFonts w:asciiTheme="majorBidi" w:eastAsia="Calibri" w:hAnsiTheme="majorBidi" w:cstheme="majorBidi"/>
          <w:b/>
          <w:sz w:val="34"/>
        </w:rPr>
        <w:tab/>
      </w:r>
      <w:r w:rsidRPr="00775674">
        <w:rPr>
          <w:rFonts w:asciiTheme="majorBidi" w:eastAsia="Calibri" w:hAnsiTheme="majorBidi" w:cstheme="majorBidi"/>
          <w:b/>
          <w:sz w:val="34"/>
        </w:rPr>
        <w:tab/>
      </w:r>
      <w:r w:rsidR="71760760" w:rsidRPr="3E56B61F">
        <w:rPr>
          <w:rFonts w:asciiTheme="majorBidi" w:eastAsia="Calibri" w:hAnsiTheme="majorBidi" w:cstheme="majorBidi"/>
          <w:b/>
          <w:bCs/>
          <w:sz w:val="34"/>
          <w:szCs w:val="34"/>
        </w:rPr>
        <w:t>F</w:t>
      </w:r>
      <w:r w:rsidR="7BC5834B" w:rsidRPr="3E56B61F">
        <w:rPr>
          <w:rFonts w:asciiTheme="majorBidi" w:eastAsia="Calibri" w:hAnsiTheme="majorBidi" w:cstheme="majorBidi"/>
          <w:b/>
          <w:bCs/>
          <w:sz w:val="34"/>
          <w:szCs w:val="34"/>
        </w:rPr>
        <w:t xml:space="preserve">inal </w:t>
      </w:r>
      <w:r w:rsidR="226A8956" w:rsidRPr="3E56B61F">
        <w:rPr>
          <w:rFonts w:asciiTheme="majorBidi" w:eastAsia="Calibri" w:hAnsiTheme="majorBidi" w:cstheme="majorBidi"/>
          <w:b/>
          <w:bCs/>
          <w:sz w:val="34"/>
          <w:szCs w:val="34"/>
        </w:rPr>
        <w:t>report</w:t>
      </w:r>
      <w:r w:rsidR="00CD1A11" w:rsidRPr="00CD1A11">
        <w:rPr>
          <w:rStyle w:val="FootnoteReference"/>
          <w:rFonts w:eastAsia="PMingLiU"/>
          <w:b/>
          <w:lang w:eastAsia="zh-TW"/>
        </w:rPr>
        <w:footnoteReference w:customMarkFollows="1" w:id="2"/>
        <w:sym w:font="Symbol" w:char="F02A"/>
      </w:r>
    </w:p>
    <w:p w14:paraId="0F6D70B2" w14:textId="77777777" w:rsidR="00775674" w:rsidRPr="00775674" w:rsidRDefault="00775674" w:rsidP="00682C6C">
      <w:pPr>
        <w:pStyle w:val="HChG"/>
        <w:rPr>
          <w:lang w:val="en-US" w:eastAsia="zh-CN"/>
        </w:rPr>
      </w:pPr>
      <w:r w:rsidRPr="00775674">
        <w:rPr>
          <w:lang w:val="en-US" w:eastAsia="zh-CN"/>
        </w:rPr>
        <w:tab/>
        <w:t>I.</w:t>
      </w:r>
      <w:r w:rsidRPr="00775674">
        <w:rPr>
          <w:lang w:val="en-US" w:eastAsia="zh-CN"/>
        </w:rPr>
        <w:tab/>
        <w:t>Introduction</w:t>
      </w:r>
    </w:p>
    <w:p w14:paraId="74890A84" w14:textId="6B31CE42" w:rsidR="00775674" w:rsidRPr="00775674" w:rsidRDefault="009D4424" w:rsidP="008201C5">
      <w:pPr>
        <w:pStyle w:val="ParNoG"/>
        <w:rPr>
          <w:lang w:val="en-US" w:eastAsia="zh-CN"/>
        </w:rPr>
      </w:pPr>
      <w:r w:rsidRPr="009D4424">
        <w:rPr>
          <w:lang w:eastAsia="zh-CN"/>
        </w:rPr>
        <w:t>Article 11 of the Convention on Cluster Munitions provides that the States parties shall meet regularly in order to consider and, where necessary, take decisions in respect of any matter with regard to the application or implementation of the Convention</w:t>
      </w:r>
      <w:r>
        <w:rPr>
          <w:lang w:eastAsia="zh-CN"/>
        </w:rPr>
        <w:t>.</w:t>
      </w:r>
      <w:r w:rsidR="00E93939">
        <w:rPr>
          <w:lang w:eastAsia="zh-CN"/>
        </w:rPr>
        <w:t xml:space="preserve"> </w:t>
      </w:r>
      <w:r w:rsidR="00775674" w:rsidRPr="00775674">
        <w:rPr>
          <w:lang w:val="en-US" w:eastAsia="zh-CN"/>
        </w:rPr>
        <w:t xml:space="preserve">In accordance with Article 11, the Second Review Conference of </w:t>
      </w:r>
      <w:r w:rsidR="00930F9E">
        <w:rPr>
          <w:lang w:val="en-US" w:eastAsia="zh-CN"/>
        </w:rPr>
        <w:t xml:space="preserve">States Parties to </w:t>
      </w:r>
      <w:r w:rsidR="00775674" w:rsidRPr="00775674">
        <w:rPr>
          <w:lang w:val="en-US" w:eastAsia="zh-CN"/>
        </w:rPr>
        <w:t xml:space="preserve">the Convention (Geneva, 25 - 27 November 2020 and 20 </w:t>
      </w:r>
      <w:r w:rsidR="00930F9E">
        <w:rPr>
          <w:lang w:val="en-US" w:eastAsia="zh-CN"/>
        </w:rPr>
        <w:t>-</w:t>
      </w:r>
      <w:r w:rsidR="00775674" w:rsidRPr="00775674">
        <w:rPr>
          <w:lang w:val="en-US" w:eastAsia="zh-CN"/>
        </w:rPr>
        <w:t xml:space="preserve"> 21 September 2021) decided to convene annually, until the Third Review Conference, a Meeting of States Parties for up to four days.</w:t>
      </w:r>
      <w:r w:rsidR="00C44541">
        <w:rPr>
          <w:rStyle w:val="FootnoteReference"/>
          <w:rFonts w:eastAsia="Calibri" w:cstheme="majorBidi"/>
          <w:lang w:eastAsia="zh-CN"/>
        </w:rPr>
        <w:footnoteReference w:id="3"/>
      </w:r>
    </w:p>
    <w:p w14:paraId="59F1D428" w14:textId="539FBC87" w:rsidR="00B670F3" w:rsidRDefault="00D034BE" w:rsidP="008201C5">
      <w:pPr>
        <w:pStyle w:val="ParNoG"/>
        <w:rPr>
          <w:lang w:val="en-US" w:eastAsia="zh-CN"/>
        </w:rPr>
      </w:pPr>
      <w:r>
        <w:rPr>
          <w:lang w:val="en-US" w:eastAsia="zh-CN"/>
        </w:rPr>
        <w:t>Pursuant to the above, t</w:t>
      </w:r>
      <w:r w:rsidR="005C40A0" w:rsidRPr="005C40A0">
        <w:rPr>
          <w:lang w:val="en-US" w:eastAsia="zh-CN"/>
        </w:rPr>
        <w:t xml:space="preserve">he </w:t>
      </w:r>
      <w:r w:rsidR="00B95528">
        <w:rPr>
          <w:lang w:val="en-US" w:eastAsia="zh-CN"/>
        </w:rPr>
        <w:t>Eleventh</w:t>
      </w:r>
      <w:r w:rsidR="00B95528" w:rsidRPr="005C40A0">
        <w:rPr>
          <w:lang w:val="en-US" w:eastAsia="zh-CN"/>
        </w:rPr>
        <w:t xml:space="preserve"> Meeting of States Parties </w:t>
      </w:r>
      <w:r w:rsidR="002B7A0E">
        <w:rPr>
          <w:lang w:val="en-US" w:eastAsia="zh-CN"/>
        </w:rPr>
        <w:t>(</w:t>
      </w:r>
      <w:r w:rsidR="00E27A26" w:rsidRPr="00E27A26">
        <w:rPr>
          <w:lang w:eastAsia="zh-CN"/>
        </w:rPr>
        <w:t>Geneva, 11-14 September 2023</w:t>
      </w:r>
      <w:r w:rsidR="002B7A0E">
        <w:rPr>
          <w:lang w:eastAsia="zh-CN"/>
        </w:rPr>
        <w:t>)</w:t>
      </w:r>
      <w:r w:rsidR="00E27A26" w:rsidRPr="00E27A26">
        <w:rPr>
          <w:lang w:val="en-US" w:eastAsia="zh-CN"/>
        </w:rPr>
        <w:t xml:space="preserve"> </w:t>
      </w:r>
      <w:r w:rsidR="005C40A0" w:rsidRPr="005C40A0">
        <w:rPr>
          <w:lang w:val="en-US" w:eastAsia="zh-CN"/>
        </w:rPr>
        <w:t>decided that the Twelfth Meeting of States Parties would take place from 10 to 13 September 2024 in Geneva</w:t>
      </w:r>
      <w:r w:rsidR="00B670F3">
        <w:rPr>
          <w:lang w:val="en-US" w:eastAsia="zh-CN"/>
        </w:rPr>
        <w:t>.</w:t>
      </w:r>
      <w:r w:rsidR="00B670F3">
        <w:rPr>
          <w:rStyle w:val="FootnoteReference"/>
          <w:rFonts w:eastAsia="Calibri" w:cstheme="majorBidi"/>
          <w:lang w:eastAsia="zh-CN"/>
        </w:rPr>
        <w:footnoteReference w:id="4"/>
      </w:r>
      <w:r w:rsidR="00631B59">
        <w:rPr>
          <w:lang w:val="en-US" w:eastAsia="zh-CN"/>
        </w:rPr>
        <w:t xml:space="preserve"> The Meeting </w:t>
      </w:r>
      <w:r w:rsidR="001A5360">
        <w:rPr>
          <w:lang w:val="en-US" w:eastAsia="zh-CN"/>
        </w:rPr>
        <w:t xml:space="preserve">also </w:t>
      </w:r>
      <w:r w:rsidR="001A5360" w:rsidRPr="001A5360">
        <w:rPr>
          <w:lang w:eastAsia="zh-CN"/>
        </w:rPr>
        <w:t xml:space="preserve">confirmed the designation of </w:t>
      </w:r>
      <w:r w:rsidR="00DC1E48" w:rsidRPr="001A5360">
        <w:rPr>
          <w:lang w:eastAsia="zh-CN"/>
        </w:rPr>
        <w:t xml:space="preserve">Ambassador </w:t>
      </w:r>
      <w:r w:rsidR="001A5360" w:rsidRPr="001A5360">
        <w:rPr>
          <w:lang w:eastAsia="zh-CN"/>
        </w:rPr>
        <w:t>Francisca Elizabeth Méndez Escobar, Permanent Representative of Mexico to the United Nations Office in Geneva, as the President of the Twelfth Meeting of States Parties</w:t>
      </w:r>
      <w:r w:rsidR="001A5360">
        <w:rPr>
          <w:lang w:eastAsia="zh-CN"/>
        </w:rPr>
        <w:t>.</w:t>
      </w:r>
      <w:r w:rsidR="003926B0">
        <w:rPr>
          <w:rStyle w:val="FootnoteReference"/>
          <w:rFonts w:eastAsia="Calibri" w:cstheme="majorBidi"/>
          <w:lang w:eastAsia="zh-CN"/>
        </w:rPr>
        <w:footnoteReference w:id="5"/>
      </w:r>
      <w:r w:rsidR="00A23293" w:rsidRPr="00A23293">
        <w:t xml:space="preserve"> </w:t>
      </w:r>
      <w:r w:rsidR="00A23293" w:rsidRPr="00A23293">
        <w:rPr>
          <w:lang w:eastAsia="zh-CN"/>
        </w:rPr>
        <w:t>In accordance with the decision taken at the First Review Conference, h</w:t>
      </w:r>
      <w:r w:rsidR="00A23293">
        <w:rPr>
          <w:lang w:eastAsia="zh-CN"/>
        </w:rPr>
        <w:t>er</w:t>
      </w:r>
      <w:r w:rsidR="00A23293" w:rsidRPr="00A23293">
        <w:rPr>
          <w:lang w:eastAsia="zh-CN"/>
        </w:rPr>
        <w:t xml:space="preserve"> term commenced on the day following the conclusion of the </w:t>
      </w:r>
      <w:r w:rsidR="00ED1658">
        <w:rPr>
          <w:lang w:eastAsia="zh-CN"/>
        </w:rPr>
        <w:t>Eleventh</w:t>
      </w:r>
      <w:r w:rsidR="00A23293" w:rsidRPr="00A23293">
        <w:rPr>
          <w:lang w:eastAsia="zh-CN"/>
        </w:rPr>
        <w:t xml:space="preserve"> Meeting of States Parties until the last day of the </w:t>
      </w:r>
      <w:r w:rsidR="00ED1658">
        <w:rPr>
          <w:lang w:eastAsia="zh-CN"/>
        </w:rPr>
        <w:t>Twelfth</w:t>
      </w:r>
      <w:r w:rsidR="00A23293" w:rsidRPr="00A23293">
        <w:rPr>
          <w:lang w:eastAsia="zh-CN"/>
        </w:rPr>
        <w:t xml:space="preserve"> Meeting of States Parties.</w:t>
      </w:r>
    </w:p>
    <w:p w14:paraId="5F2C3E98" w14:textId="68A457B3" w:rsidR="00C0487B" w:rsidRDefault="00775674" w:rsidP="008201C5">
      <w:pPr>
        <w:pStyle w:val="ParNoG"/>
        <w:rPr>
          <w:lang w:eastAsia="zh-CN"/>
        </w:rPr>
      </w:pPr>
      <w:r w:rsidRPr="00775674">
        <w:rPr>
          <w:lang w:val="en-US" w:eastAsia="zh-CN"/>
        </w:rPr>
        <w:t xml:space="preserve">By operative paragraph 9 of resolution </w:t>
      </w:r>
      <w:hyperlink r:id="rId11" w:history="1">
        <w:r w:rsidRPr="00F20E3C">
          <w:rPr>
            <w:rStyle w:val="Hyperlink"/>
            <w:rFonts w:asciiTheme="majorBidi" w:eastAsia="Calibri" w:hAnsiTheme="majorBidi" w:cstheme="majorBidi"/>
            <w:lang w:val="en-US" w:eastAsia="zh-CN"/>
          </w:rPr>
          <w:t>7</w:t>
        </w:r>
        <w:r w:rsidR="00F20E3C" w:rsidRPr="00F20E3C">
          <w:rPr>
            <w:rStyle w:val="Hyperlink"/>
            <w:rFonts w:asciiTheme="majorBidi" w:eastAsia="Calibri" w:hAnsiTheme="majorBidi" w:cstheme="majorBidi"/>
            <w:lang w:val="en-US" w:eastAsia="zh-CN"/>
          </w:rPr>
          <w:t>8</w:t>
        </w:r>
        <w:r w:rsidRPr="00F20E3C">
          <w:rPr>
            <w:rStyle w:val="Hyperlink"/>
            <w:rFonts w:asciiTheme="majorBidi" w:eastAsia="Calibri" w:hAnsiTheme="majorBidi" w:cstheme="majorBidi"/>
            <w:lang w:val="en-US" w:eastAsia="zh-CN"/>
          </w:rPr>
          <w:t>/</w:t>
        </w:r>
        <w:r w:rsidR="00F20E3C" w:rsidRPr="00F20E3C">
          <w:rPr>
            <w:rStyle w:val="Hyperlink"/>
            <w:rFonts w:asciiTheme="majorBidi" w:eastAsia="Calibri" w:hAnsiTheme="majorBidi" w:cstheme="majorBidi"/>
            <w:lang w:val="en-US" w:eastAsia="zh-CN"/>
          </w:rPr>
          <w:t>32</w:t>
        </w:r>
      </w:hyperlink>
      <w:r w:rsidRPr="00775674">
        <w:rPr>
          <w:lang w:val="en-US" w:eastAsia="zh-CN"/>
        </w:rPr>
        <w:t xml:space="preserve">, the General Assembly requested the Secretary-General </w:t>
      </w:r>
      <w:r w:rsidR="00C0487B" w:rsidRPr="00C0487B">
        <w:rPr>
          <w:lang w:eastAsia="zh-CN"/>
        </w:rPr>
        <w:t xml:space="preserve">to continue to convene the Meetings of States Parties to the Convention and to continue to render the necessary assistance and to provide such services as may be necessary to fulfil the tasks entrusted to him under the Convention and in the relevant decisions of the Meetings of States Parties and the </w:t>
      </w:r>
      <w:r w:rsidR="00411DB9" w:rsidRPr="00C0487B">
        <w:rPr>
          <w:lang w:eastAsia="zh-CN"/>
        </w:rPr>
        <w:t xml:space="preserve">Second </w:t>
      </w:r>
      <w:r w:rsidR="00C0487B" w:rsidRPr="00C0487B">
        <w:rPr>
          <w:lang w:eastAsia="zh-CN"/>
        </w:rPr>
        <w:t>Review Conference</w:t>
      </w:r>
      <w:r w:rsidR="00B53622">
        <w:rPr>
          <w:lang w:eastAsia="zh-CN"/>
        </w:rPr>
        <w:t>.</w:t>
      </w:r>
      <w:r w:rsidR="009B0F4B" w:rsidRPr="009B0F4B">
        <w:t xml:space="preserve"> </w:t>
      </w:r>
      <w:r w:rsidR="009B0F4B" w:rsidRPr="009B0F4B">
        <w:rPr>
          <w:lang w:eastAsia="zh-CN"/>
        </w:rPr>
        <w:t xml:space="preserve">Accordingly, the Secretary-General of the United Nations convened the </w:t>
      </w:r>
      <w:r w:rsidR="0012333F">
        <w:rPr>
          <w:lang w:eastAsia="zh-CN"/>
        </w:rPr>
        <w:t>Twe</w:t>
      </w:r>
      <w:r w:rsidR="009B0F4B" w:rsidRPr="009B0F4B">
        <w:rPr>
          <w:lang w:eastAsia="zh-CN"/>
        </w:rPr>
        <w:t>l</w:t>
      </w:r>
      <w:r w:rsidR="0012333F">
        <w:rPr>
          <w:lang w:eastAsia="zh-CN"/>
        </w:rPr>
        <w:t>fth</w:t>
      </w:r>
      <w:r w:rsidR="009B0F4B" w:rsidRPr="009B0F4B">
        <w:rPr>
          <w:lang w:eastAsia="zh-CN"/>
        </w:rPr>
        <w:t xml:space="preserve"> Meeting of States Parties and invited all States Parties, States not parties to the Convention</w:t>
      </w:r>
      <w:r w:rsidR="009B6979">
        <w:rPr>
          <w:lang w:eastAsia="zh-CN"/>
        </w:rPr>
        <w:t>,</w:t>
      </w:r>
      <w:r w:rsidR="00C50871" w:rsidRPr="00C50871">
        <w:rPr>
          <w:lang w:eastAsia="zh-CN"/>
        </w:rPr>
        <w:t xml:space="preserve"> </w:t>
      </w:r>
      <w:r w:rsidR="00C50871" w:rsidRPr="009B0F4B">
        <w:rPr>
          <w:lang w:eastAsia="zh-CN"/>
        </w:rPr>
        <w:t>as well as</w:t>
      </w:r>
      <w:r w:rsidR="009B6979">
        <w:rPr>
          <w:lang w:eastAsia="zh-CN"/>
        </w:rPr>
        <w:t xml:space="preserve"> relevant international organizations and institutions</w:t>
      </w:r>
      <w:r w:rsidR="009B0F4B" w:rsidRPr="009B0F4B">
        <w:rPr>
          <w:lang w:eastAsia="zh-CN"/>
        </w:rPr>
        <w:t>, to participate in the Meeting.</w:t>
      </w:r>
    </w:p>
    <w:p w14:paraId="37CA0CF8" w14:textId="6FC38AB9" w:rsidR="00775674" w:rsidRPr="00775674" w:rsidRDefault="00775674" w:rsidP="00682C6C">
      <w:pPr>
        <w:pStyle w:val="HChG"/>
        <w:rPr>
          <w:lang w:val="en-US" w:eastAsia="zh-CN"/>
        </w:rPr>
      </w:pPr>
      <w:bookmarkStart w:id="0" w:name="_Hlk176948451"/>
      <w:r w:rsidRPr="00775674">
        <w:rPr>
          <w:lang w:val="en-US" w:eastAsia="zh-CN"/>
        </w:rPr>
        <w:tab/>
        <w:t>II.</w:t>
      </w:r>
      <w:r w:rsidRPr="00775674">
        <w:rPr>
          <w:lang w:val="en-US" w:eastAsia="zh-CN"/>
        </w:rPr>
        <w:tab/>
        <w:t xml:space="preserve">Organization of the </w:t>
      </w:r>
      <w:r w:rsidR="00A52CED" w:rsidRPr="00A52CED">
        <w:rPr>
          <w:bCs/>
          <w:lang w:eastAsia="zh-CN"/>
        </w:rPr>
        <w:t xml:space="preserve">Twelfth </w:t>
      </w:r>
      <w:r w:rsidRPr="00775674">
        <w:rPr>
          <w:lang w:val="en-US" w:eastAsia="zh-CN"/>
        </w:rPr>
        <w:t>Meeting of States Parties</w:t>
      </w:r>
    </w:p>
    <w:bookmarkEnd w:id="0"/>
    <w:p w14:paraId="5D604974" w14:textId="643C48EF" w:rsidR="00775674" w:rsidRDefault="00775674" w:rsidP="008201C5">
      <w:pPr>
        <w:pStyle w:val="ParNoG"/>
        <w:rPr>
          <w:lang w:val="en-US" w:eastAsia="zh-CN"/>
        </w:rPr>
      </w:pPr>
      <w:r w:rsidRPr="00775674">
        <w:rPr>
          <w:lang w:val="en-US" w:eastAsia="zh-CN"/>
        </w:rPr>
        <w:t xml:space="preserve">The </w:t>
      </w:r>
      <w:bookmarkStart w:id="1" w:name="_Hlk176943903"/>
      <w:r w:rsidR="00A52CED" w:rsidRPr="00A52CED">
        <w:rPr>
          <w:lang w:eastAsia="zh-CN"/>
        </w:rPr>
        <w:t>Twelfth</w:t>
      </w:r>
      <w:r w:rsidR="00A52CED" w:rsidRPr="00A52CED">
        <w:rPr>
          <w:b/>
          <w:bCs/>
          <w:lang w:eastAsia="zh-CN"/>
        </w:rPr>
        <w:t xml:space="preserve"> </w:t>
      </w:r>
      <w:bookmarkEnd w:id="1"/>
      <w:r w:rsidRPr="00775674">
        <w:rPr>
          <w:lang w:val="en-US" w:eastAsia="zh-CN"/>
        </w:rPr>
        <w:t>Meeting of States Parties was held in Geneva, Switzerland</w:t>
      </w:r>
      <w:r w:rsidR="00D43FF8">
        <w:rPr>
          <w:lang w:val="en-US" w:eastAsia="zh-CN"/>
        </w:rPr>
        <w:t xml:space="preserve"> </w:t>
      </w:r>
      <w:r w:rsidR="00A52CED">
        <w:rPr>
          <w:lang w:val="en-US" w:eastAsia="zh-CN"/>
        </w:rPr>
        <w:t xml:space="preserve">on 10, 11, and 13 </w:t>
      </w:r>
      <w:r w:rsidRPr="00775674">
        <w:rPr>
          <w:lang w:val="en-US" w:eastAsia="zh-CN"/>
        </w:rPr>
        <w:t>September 202</w:t>
      </w:r>
      <w:r w:rsidR="00A52CED">
        <w:rPr>
          <w:lang w:val="en-US" w:eastAsia="zh-CN"/>
        </w:rPr>
        <w:t>4</w:t>
      </w:r>
      <w:r w:rsidR="00B50CEB">
        <w:rPr>
          <w:rStyle w:val="FootnoteReference"/>
          <w:rFonts w:eastAsia="Calibri" w:cstheme="majorBidi"/>
          <w:lang w:eastAsia="zh-CN"/>
        </w:rPr>
        <w:footnoteReference w:id="6"/>
      </w:r>
      <w:r w:rsidRPr="00775674">
        <w:rPr>
          <w:lang w:val="en-US" w:eastAsia="zh-CN"/>
        </w:rPr>
        <w:t>.</w:t>
      </w:r>
      <w:r w:rsidR="00F766F2">
        <w:rPr>
          <w:lang w:val="en-US" w:eastAsia="zh-CN"/>
        </w:rPr>
        <w:t xml:space="preserve"> </w:t>
      </w:r>
      <w:r w:rsidR="002E5542">
        <w:rPr>
          <w:lang w:val="en-US" w:eastAsia="zh-CN"/>
        </w:rPr>
        <w:t>Several</w:t>
      </w:r>
      <w:r w:rsidR="00F766F2">
        <w:rPr>
          <w:lang w:val="en-US" w:eastAsia="zh-CN"/>
        </w:rPr>
        <w:t xml:space="preserve"> informal events </w:t>
      </w:r>
      <w:r w:rsidR="002E5542">
        <w:rPr>
          <w:lang w:val="en-US" w:eastAsia="zh-CN"/>
        </w:rPr>
        <w:t xml:space="preserve">also </w:t>
      </w:r>
      <w:r w:rsidR="00F766F2">
        <w:rPr>
          <w:lang w:val="en-US" w:eastAsia="zh-CN"/>
        </w:rPr>
        <w:t xml:space="preserve">took place on 12 </w:t>
      </w:r>
      <w:r w:rsidR="00E3459A">
        <w:rPr>
          <w:lang w:val="en-US" w:eastAsia="zh-CN"/>
        </w:rPr>
        <w:t xml:space="preserve">September </w:t>
      </w:r>
      <w:r w:rsidR="00A00ACA">
        <w:rPr>
          <w:lang w:val="en-US" w:eastAsia="zh-CN"/>
        </w:rPr>
        <w:t xml:space="preserve">in the margins of the </w:t>
      </w:r>
      <w:r w:rsidR="00E3459A">
        <w:rPr>
          <w:lang w:val="en-US" w:eastAsia="zh-CN"/>
        </w:rPr>
        <w:t>Meeting.</w:t>
      </w:r>
      <w:r w:rsidR="00F766F2">
        <w:rPr>
          <w:lang w:val="en-US" w:eastAsia="zh-CN"/>
        </w:rPr>
        <w:t xml:space="preserve"> </w:t>
      </w:r>
    </w:p>
    <w:p w14:paraId="5C90D670" w14:textId="564316E3" w:rsidR="00775674" w:rsidRPr="00775674" w:rsidRDefault="226A8956" w:rsidP="008201C5">
      <w:pPr>
        <w:pStyle w:val="ParNoG"/>
        <w:rPr>
          <w:lang w:val="en-US" w:eastAsia="zh-CN"/>
        </w:rPr>
      </w:pPr>
      <w:r w:rsidRPr="3E56B61F">
        <w:rPr>
          <w:lang w:val="en-US" w:eastAsia="zh-CN"/>
        </w:rPr>
        <w:t xml:space="preserve">The following States Parties to the Convention participated in the work of the Meeting: Albania, Australia, Austria, Belgium, </w:t>
      </w:r>
      <w:r w:rsidR="0CEF1B39" w:rsidRPr="3E56B61F">
        <w:rPr>
          <w:lang w:val="en-US" w:eastAsia="zh-CN"/>
        </w:rPr>
        <w:t xml:space="preserve">Bolivia, </w:t>
      </w:r>
      <w:r w:rsidRPr="3E56B61F">
        <w:rPr>
          <w:lang w:val="en-US" w:eastAsia="zh-CN"/>
        </w:rPr>
        <w:t xml:space="preserve">Bosnia and Herzegovina, Botswana, </w:t>
      </w:r>
      <w:r w:rsidRPr="3E56B61F">
        <w:rPr>
          <w:lang w:val="en-US" w:eastAsia="zh-CN"/>
        </w:rPr>
        <w:lastRenderedPageBreak/>
        <w:t xml:space="preserve">Bulgaria, Burkina Faso, Cameroon, Canada, Chad, Chile, Colombia, </w:t>
      </w:r>
      <w:r w:rsidR="2966D41B" w:rsidRPr="3E56B61F">
        <w:rPr>
          <w:lang w:val="en-US" w:eastAsia="zh-CN"/>
        </w:rPr>
        <w:t>Côte</w:t>
      </w:r>
      <w:r w:rsidR="70A04FC4" w:rsidRPr="3E56B61F">
        <w:rPr>
          <w:lang w:val="en-US" w:eastAsia="zh-CN"/>
        </w:rPr>
        <w:t xml:space="preserve"> </w:t>
      </w:r>
      <w:r w:rsidR="0EC263E9" w:rsidRPr="3E56B61F">
        <w:rPr>
          <w:lang w:val="en-US" w:eastAsia="zh-CN"/>
        </w:rPr>
        <w:t>d’Ivoire</w:t>
      </w:r>
      <w:r w:rsidRPr="3E56B61F">
        <w:rPr>
          <w:lang w:val="en-US" w:eastAsia="zh-CN"/>
        </w:rPr>
        <w:t>, Cuba, Czech</w:t>
      </w:r>
      <w:r w:rsidR="0E6C4542" w:rsidRPr="3E56B61F">
        <w:rPr>
          <w:lang w:val="en-US" w:eastAsia="zh-CN"/>
        </w:rPr>
        <w:t>ia</w:t>
      </w:r>
      <w:r w:rsidRPr="3E56B61F">
        <w:rPr>
          <w:lang w:val="en-US" w:eastAsia="zh-CN"/>
        </w:rPr>
        <w:t xml:space="preserve">, Dominican Republic, Ecuador, El Salvador, France, Gambia, Germany, Ghana, </w:t>
      </w:r>
      <w:r w:rsidR="042468C7" w:rsidRPr="3E56B61F">
        <w:rPr>
          <w:lang w:val="en-US" w:eastAsia="zh-CN"/>
        </w:rPr>
        <w:t>Guinea-Bissau</w:t>
      </w:r>
      <w:r w:rsidRPr="3E56B61F">
        <w:rPr>
          <w:lang w:val="en-US" w:eastAsia="zh-CN"/>
        </w:rPr>
        <w:t xml:space="preserve">, Holy See, </w:t>
      </w:r>
      <w:r w:rsidR="34EAA00D" w:rsidRPr="3E56B61F">
        <w:rPr>
          <w:lang w:val="en-US" w:eastAsia="zh-CN"/>
        </w:rPr>
        <w:t xml:space="preserve">Honduras, </w:t>
      </w:r>
      <w:r w:rsidRPr="3E56B61F">
        <w:rPr>
          <w:lang w:val="en-US" w:eastAsia="zh-CN"/>
        </w:rPr>
        <w:t xml:space="preserve">Hungary, Iraq, Ireland, Italy, Japan, Lao Peoples’ Democratic Republic, Lebanon, </w:t>
      </w:r>
      <w:r w:rsidR="39691F38" w:rsidRPr="3E56B61F">
        <w:rPr>
          <w:lang w:val="en-US" w:eastAsia="zh-CN"/>
        </w:rPr>
        <w:t xml:space="preserve">Lesotho, </w:t>
      </w:r>
      <w:r w:rsidRPr="3E56B61F">
        <w:rPr>
          <w:lang w:val="en-US" w:eastAsia="zh-CN"/>
        </w:rPr>
        <w:t xml:space="preserve">Madagascar, </w:t>
      </w:r>
      <w:r w:rsidR="1C0916A8" w:rsidRPr="3E56B61F">
        <w:rPr>
          <w:lang w:val="en-US" w:eastAsia="zh-CN"/>
        </w:rPr>
        <w:t xml:space="preserve">Malawi, </w:t>
      </w:r>
      <w:r w:rsidRPr="3E56B61F">
        <w:rPr>
          <w:lang w:val="en-US" w:eastAsia="zh-CN"/>
        </w:rPr>
        <w:t xml:space="preserve">Malta, Mauritania, Mexico, Montenegro, </w:t>
      </w:r>
      <w:r w:rsidR="42B735BF" w:rsidRPr="3E56B61F">
        <w:rPr>
          <w:lang w:val="en-US" w:eastAsia="zh-CN"/>
        </w:rPr>
        <w:t>Namibia</w:t>
      </w:r>
      <w:r w:rsidRPr="3E56B61F">
        <w:rPr>
          <w:lang w:val="en-US" w:eastAsia="zh-CN"/>
        </w:rPr>
        <w:t xml:space="preserve">, </w:t>
      </w:r>
      <w:r w:rsidR="08CCA4CA" w:rsidRPr="3E56B61F">
        <w:rPr>
          <w:lang w:val="en-US" w:eastAsia="zh-CN"/>
        </w:rPr>
        <w:t xml:space="preserve">Kingdom of the </w:t>
      </w:r>
      <w:r w:rsidRPr="3E56B61F">
        <w:rPr>
          <w:lang w:val="en-US" w:eastAsia="zh-CN"/>
        </w:rPr>
        <w:t>Netherlands</w:t>
      </w:r>
      <w:r w:rsidR="319FB1AD" w:rsidRPr="3E56B61F">
        <w:rPr>
          <w:lang w:val="en-US" w:eastAsia="zh-CN"/>
        </w:rPr>
        <w:t>,</w:t>
      </w:r>
      <w:r w:rsidRPr="3E56B61F">
        <w:rPr>
          <w:lang w:val="en-US" w:eastAsia="zh-CN"/>
        </w:rPr>
        <w:t xml:space="preserve"> New Zealand, Nicaragua, </w:t>
      </w:r>
      <w:r w:rsidR="6CE43ED9" w:rsidRPr="3E56B61F">
        <w:rPr>
          <w:lang w:val="en-US" w:eastAsia="zh-CN"/>
        </w:rPr>
        <w:t xml:space="preserve">Niger, </w:t>
      </w:r>
      <w:r w:rsidRPr="3E56B61F">
        <w:rPr>
          <w:lang w:val="en-US" w:eastAsia="zh-CN"/>
        </w:rPr>
        <w:t xml:space="preserve">Nigeria, </w:t>
      </w:r>
      <w:r w:rsidR="1425533C" w:rsidRPr="3E56B61F">
        <w:rPr>
          <w:lang w:val="en-US" w:eastAsia="zh-CN"/>
        </w:rPr>
        <w:t xml:space="preserve">North Macedonia, </w:t>
      </w:r>
      <w:r w:rsidRPr="3E56B61F">
        <w:rPr>
          <w:lang w:val="en-US" w:eastAsia="zh-CN"/>
        </w:rPr>
        <w:t xml:space="preserve">Norway, Panama, </w:t>
      </w:r>
      <w:r w:rsidR="12CB3593" w:rsidRPr="3E56B61F">
        <w:rPr>
          <w:lang w:val="en-US" w:eastAsia="zh-CN"/>
        </w:rPr>
        <w:t xml:space="preserve">Paraguay, </w:t>
      </w:r>
      <w:r w:rsidRPr="3E56B61F">
        <w:rPr>
          <w:lang w:val="en-US" w:eastAsia="zh-CN"/>
        </w:rPr>
        <w:t xml:space="preserve">Peru, Philippines, Portugal, </w:t>
      </w:r>
      <w:r w:rsidR="264BE9E5" w:rsidRPr="3E56B61F">
        <w:rPr>
          <w:lang w:val="en-US" w:eastAsia="zh-CN"/>
        </w:rPr>
        <w:t xml:space="preserve">Republic of Moldova, </w:t>
      </w:r>
      <w:r w:rsidRPr="3E56B61F">
        <w:rPr>
          <w:lang w:val="en-US" w:eastAsia="zh-CN"/>
        </w:rPr>
        <w:t xml:space="preserve"> Sao Tome and Principe, Slovakia, Slovenia, South Africa, </w:t>
      </w:r>
      <w:r w:rsidR="1B617157" w:rsidRPr="3E56B61F">
        <w:rPr>
          <w:lang w:val="en-US" w:eastAsia="zh-CN"/>
        </w:rPr>
        <w:t xml:space="preserve">Somalia, </w:t>
      </w:r>
      <w:r w:rsidRPr="3E56B61F">
        <w:rPr>
          <w:lang w:val="en-US" w:eastAsia="zh-CN"/>
        </w:rPr>
        <w:t>South Sudan, Spain, Sri Lanka, State of Palestine, Sweden, Switzerland, Togo, Tunisia, United Kingdom of Great Britain and Northern Ireland, and Zambia.</w:t>
      </w:r>
    </w:p>
    <w:p w14:paraId="3B7F671F" w14:textId="25A67C20" w:rsidR="00775674" w:rsidRPr="00775674" w:rsidRDefault="226A8956" w:rsidP="008201C5">
      <w:pPr>
        <w:pStyle w:val="ParNoG"/>
        <w:rPr>
          <w:lang w:val="en-US" w:eastAsia="zh-CN"/>
        </w:rPr>
      </w:pPr>
      <w:r w:rsidRPr="3E56B61F">
        <w:rPr>
          <w:lang w:val="en-US" w:eastAsia="zh-CN"/>
        </w:rPr>
        <w:t xml:space="preserve">The following States signatories to the Convention participated in the work of the Meeting as observers: </w:t>
      </w:r>
      <w:r w:rsidRPr="3E56B61F">
        <w:t xml:space="preserve">Angola, </w:t>
      </w:r>
      <w:r w:rsidR="3DAAC34F" w:rsidRPr="3E56B61F">
        <w:t xml:space="preserve">Democratic Republic of the Congo, </w:t>
      </w:r>
      <w:r w:rsidR="500988CE" w:rsidRPr="3E56B61F">
        <w:t>Uganda</w:t>
      </w:r>
      <w:r w:rsidRPr="3E56B61F">
        <w:t>, and United Republic of Tanzania</w:t>
      </w:r>
      <w:r w:rsidRPr="3E56B61F">
        <w:rPr>
          <w:lang w:val="en-US" w:eastAsia="zh-CN"/>
        </w:rPr>
        <w:t>.</w:t>
      </w:r>
    </w:p>
    <w:p w14:paraId="21A3E156" w14:textId="67C7BF8D" w:rsidR="00775674" w:rsidRPr="00775674" w:rsidRDefault="226A8956" w:rsidP="008201C5">
      <w:pPr>
        <w:pStyle w:val="ParNoG"/>
        <w:rPr>
          <w:lang w:val="en-US" w:eastAsia="zh-CN"/>
        </w:rPr>
      </w:pPr>
      <w:r w:rsidRPr="3E56B61F">
        <w:t xml:space="preserve">Armenia, </w:t>
      </w:r>
      <w:r w:rsidR="57FE49BE" w:rsidRPr="3E56B61F">
        <w:t xml:space="preserve">Azerbaijan, </w:t>
      </w:r>
      <w:r w:rsidRPr="3E56B61F">
        <w:t xml:space="preserve">Finland, </w:t>
      </w:r>
      <w:r w:rsidR="45897214" w:rsidRPr="3E56B61F">
        <w:t xml:space="preserve">Morocco, </w:t>
      </w:r>
      <w:r w:rsidR="343A122C" w:rsidRPr="3E56B61F">
        <w:rPr>
          <w:lang w:val="en-US" w:eastAsia="zh-CN"/>
        </w:rPr>
        <w:t xml:space="preserve">Myanmar, </w:t>
      </w:r>
      <w:r w:rsidRPr="3E56B61F">
        <w:t xml:space="preserve">Qatar, Saudi Arabia, Serbia, Thailand, Türkiye, United Arab Emirates, </w:t>
      </w:r>
      <w:r w:rsidR="5781454A" w:rsidRPr="3E56B61F">
        <w:t xml:space="preserve">Viet Nam, </w:t>
      </w:r>
      <w:r w:rsidRPr="3E56B61F">
        <w:t>and Zimbabwe</w:t>
      </w:r>
      <w:r w:rsidRPr="3E56B61F">
        <w:rPr>
          <w:lang w:val="en-US" w:eastAsia="zh-CN"/>
        </w:rPr>
        <w:t xml:space="preserve"> also participated in the work of the Meeting as observers.</w:t>
      </w:r>
    </w:p>
    <w:p w14:paraId="27086840" w14:textId="3DD0602A" w:rsidR="00775674" w:rsidRPr="00775674" w:rsidRDefault="00775674" w:rsidP="008201C5">
      <w:pPr>
        <w:pStyle w:val="ParNoG"/>
        <w:rPr>
          <w:lang w:val="en-US" w:eastAsia="zh-CN"/>
        </w:rPr>
      </w:pPr>
      <w:r w:rsidRPr="00775674">
        <w:rPr>
          <w:lang w:val="en-US" w:eastAsia="zh-CN"/>
        </w:rPr>
        <w:t xml:space="preserve">The Cluster Munition Coalition (CMC), Geneva International Centre for Humanitarian Demining (GICHD), International Committee of the Red Cross (ICRC), </w:t>
      </w:r>
      <w:r w:rsidR="00885736">
        <w:rPr>
          <w:lang w:val="en-US" w:eastAsia="zh-CN"/>
        </w:rPr>
        <w:t xml:space="preserve">International Federation of the Red </w:t>
      </w:r>
      <w:r w:rsidR="00981A3D">
        <w:rPr>
          <w:lang w:val="en-US" w:eastAsia="zh-CN"/>
        </w:rPr>
        <w:t xml:space="preserve">Cross and </w:t>
      </w:r>
      <w:r w:rsidR="006A0DAF">
        <w:rPr>
          <w:lang w:val="en-US" w:eastAsia="zh-CN"/>
        </w:rPr>
        <w:t xml:space="preserve">Red Crescent Society </w:t>
      </w:r>
      <w:r w:rsidR="00C93EE9">
        <w:rPr>
          <w:lang w:val="en-US" w:eastAsia="zh-CN"/>
        </w:rPr>
        <w:t xml:space="preserve">(IFRC), </w:t>
      </w:r>
      <w:r w:rsidR="004430D1">
        <w:rPr>
          <w:lang w:val="en-US" w:eastAsia="zh-CN"/>
        </w:rPr>
        <w:t xml:space="preserve">United Nations Development Programme (UNDP), </w:t>
      </w:r>
      <w:r w:rsidRPr="00775674">
        <w:rPr>
          <w:lang w:val="en-US" w:eastAsia="zh-CN"/>
        </w:rPr>
        <w:t>United Nations Institute for Disarmament Research (UNIDIR), United Nations Mine Action Service (UNMAS) and United Nations Office for Disarmament Affairs (UNODA) also participated in the work of the Meeting as observers, pursuant to rule 1 (2) of the rules of procedure.</w:t>
      </w:r>
    </w:p>
    <w:p w14:paraId="08942816" w14:textId="012B3A87" w:rsidR="00775674" w:rsidRPr="00775674" w:rsidRDefault="226A8956" w:rsidP="008201C5">
      <w:pPr>
        <w:pStyle w:val="ParNoG"/>
        <w:rPr>
          <w:lang w:val="en-US" w:eastAsia="zh-CN"/>
        </w:rPr>
      </w:pPr>
      <w:r w:rsidRPr="3E56B61F">
        <w:rPr>
          <w:lang w:val="en-US" w:eastAsia="zh-CN"/>
        </w:rPr>
        <w:t xml:space="preserve">The European Union, </w:t>
      </w:r>
      <w:r w:rsidR="3F32C2DB" w:rsidRPr="3E56B61F">
        <w:rPr>
          <w:lang w:val="en-US" w:eastAsia="zh-CN"/>
        </w:rPr>
        <w:t>Inter-</w:t>
      </w:r>
      <w:r w:rsidR="69B9ED19" w:rsidRPr="3E56B61F">
        <w:rPr>
          <w:lang w:val="en-US" w:eastAsia="zh-CN"/>
        </w:rPr>
        <w:t>Parliamentary Union</w:t>
      </w:r>
      <w:r w:rsidR="06854051" w:rsidRPr="3E56B61F">
        <w:rPr>
          <w:lang w:val="en-US" w:eastAsia="zh-CN"/>
        </w:rPr>
        <w:t xml:space="preserve"> (IPU)</w:t>
      </w:r>
      <w:r w:rsidR="69B9ED19" w:rsidRPr="3E56B61F">
        <w:rPr>
          <w:lang w:val="en-US" w:eastAsia="zh-CN"/>
        </w:rPr>
        <w:t xml:space="preserve">, </w:t>
      </w:r>
      <w:r w:rsidR="5F5899C6" w:rsidRPr="3E56B61F">
        <w:rPr>
          <w:lang w:val="en-US" w:eastAsia="zh-CN"/>
        </w:rPr>
        <w:t xml:space="preserve">APOPO, </w:t>
      </w:r>
      <w:r w:rsidRPr="3E56B61F">
        <w:rPr>
          <w:lang w:val="en-US" w:eastAsia="zh-CN"/>
        </w:rPr>
        <w:t>Mines Advisory Group (MAG), Norwegian People’s Aid</w:t>
      </w:r>
      <w:r w:rsidR="22763268" w:rsidRPr="3E56B61F">
        <w:rPr>
          <w:lang w:val="en-US" w:eastAsia="zh-CN"/>
        </w:rPr>
        <w:t>,</w:t>
      </w:r>
      <w:r w:rsidRPr="3E56B61F">
        <w:rPr>
          <w:lang w:val="en-US" w:eastAsia="zh-CN"/>
        </w:rPr>
        <w:t xml:space="preserve"> and The HALO Trust also took part in the work of the Meeting as observers, pursuant to rule 1 (3) of the rules of procedure. </w:t>
      </w:r>
    </w:p>
    <w:p w14:paraId="36D27663" w14:textId="2BE02152" w:rsidR="00775674" w:rsidRPr="00775674" w:rsidRDefault="00775674" w:rsidP="00682C6C">
      <w:pPr>
        <w:pStyle w:val="HChG"/>
        <w:rPr>
          <w:lang w:val="en-US" w:eastAsia="zh-CN"/>
        </w:rPr>
      </w:pPr>
      <w:r w:rsidRPr="00775674">
        <w:rPr>
          <w:lang w:val="en-US" w:eastAsia="zh-CN"/>
        </w:rPr>
        <w:tab/>
        <w:t>I</w:t>
      </w:r>
      <w:r w:rsidR="00C44660">
        <w:rPr>
          <w:lang w:val="en-US" w:eastAsia="zh-CN"/>
        </w:rPr>
        <w:t>II</w:t>
      </w:r>
      <w:r w:rsidRPr="00775674">
        <w:rPr>
          <w:lang w:val="en-US" w:eastAsia="zh-CN"/>
        </w:rPr>
        <w:t>.</w:t>
      </w:r>
      <w:r w:rsidRPr="00775674">
        <w:rPr>
          <w:lang w:val="en-US" w:eastAsia="zh-CN"/>
        </w:rPr>
        <w:tab/>
        <w:t xml:space="preserve">Work of the </w:t>
      </w:r>
      <w:r w:rsidR="00445835">
        <w:rPr>
          <w:lang w:val="en-US" w:eastAsia="zh-CN"/>
        </w:rPr>
        <w:t>Twelfth</w:t>
      </w:r>
      <w:r w:rsidRPr="00775674">
        <w:rPr>
          <w:lang w:val="en-US" w:eastAsia="zh-CN"/>
        </w:rPr>
        <w:t xml:space="preserve"> Meeting of States Parties</w:t>
      </w:r>
    </w:p>
    <w:p w14:paraId="65A2A942" w14:textId="63288B1C" w:rsidR="00BA1A84" w:rsidRPr="00BA1A84" w:rsidRDefault="00BA1A84" w:rsidP="008201C5">
      <w:pPr>
        <w:pStyle w:val="ParNoG"/>
        <w:rPr>
          <w:lang w:eastAsia="zh-CN"/>
        </w:rPr>
      </w:pPr>
      <w:r w:rsidRPr="00BA1A84">
        <w:rPr>
          <w:lang w:eastAsia="zh-CN"/>
        </w:rPr>
        <w:t>The Twe</w:t>
      </w:r>
      <w:r w:rsidR="00C44660">
        <w:rPr>
          <w:lang w:eastAsia="zh-CN"/>
        </w:rPr>
        <w:t>lfth</w:t>
      </w:r>
      <w:r w:rsidRPr="00BA1A84">
        <w:rPr>
          <w:lang w:eastAsia="zh-CN"/>
        </w:rPr>
        <w:t xml:space="preserve"> Meeting of States Parties held </w:t>
      </w:r>
      <w:r w:rsidR="00057C95" w:rsidRPr="00B12EDE">
        <w:rPr>
          <w:lang w:eastAsia="zh-CN"/>
        </w:rPr>
        <w:t>six</w:t>
      </w:r>
      <w:r w:rsidR="00057C95">
        <w:rPr>
          <w:lang w:eastAsia="zh-CN"/>
        </w:rPr>
        <w:t xml:space="preserve"> </w:t>
      </w:r>
      <w:r w:rsidRPr="00BA1A84">
        <w:rPr>
          <w:lang w:eastAsia="zh-CN"/>
        </w:rPr>
        <w:t xml:space="preserve">plenary </w:t>
      </w:r>
      <w:r w:rsidR="00BD0B34">
        <w:rPr>
          <w:lang w:eastAsia="zh-CN"/>
        </w:rPr>
        <w:t>sessions</w:t>
      </w:r>
      <w:r w:rsidRPr="00BA1A84">
        <w:rPr>
          <w:lang w:eastAsia="zh-CN"/>
        </w:rPr>
        <w:t xml:space="preserve"> between </w:t>
      </w:r>
      <w:r w:rsidR="00057C95">
        <w:rPr>
          <w:lang w:eastAsia="zh-CN"/>
        </w:rPr>
        <w:t>1</w:t>
      </w:r>
      <w:r w:rsidRPr="00BA1A84">
        <w:rPr>
          <w:lang w:eastAsia="zh-CN"/>
        </w:rPr>
        <w:t xml:space="preserve">0 and </w:t>
      </w:r>
      <w:r w:rsidR="00057C95">
        <w:rPr>
          <w:lang w:eastAsia="zh-CN"/>
        </w:rPr>
        <w:t>13</w:t>
      </w:r>
      <w:r w:rsidRPr="00BA1A84">
        <w:rPr>
          <w:lang w:eastAsia="zh-CN"/>
        </w:rPr>
        <w:t xml:space="preserve"> </w:t>
      </w:r>
      <w:r w:rsidR="00057C95">
        <w:rPr>
          <w:lang w:eastAsia="zh-CN"/>
        </w:rPr>
        <w:t>September</w:t>
      </w:r>
      <w:r w:rsidRPr="00BA1A84">
        <w:rPr>
          <w:lang w:eastAsia="zh-CN"/>
        </w:rPr>
        <w:t xml:space="preserve"> 202</w:t>
      </w:r>
      <w:r w:rsidR="00057C95">
        <w:rPr>
          <w:lang w:eastAsia="zh-CN"/>
        </w:rPr>
        <w:t>4</w:t>
      </w:r>
      <w:r w:rsidRPr="00BA1A84">
        <w:rPr>
          <w:lang w:eastAsia="zh-CN"/>
        </w:rPr>
        <w:t xml:space="preserve">. </w:t>
      </w:r>
    </w:p>
    <w:p w14:paraId="6D499AEC" w14:textId="0DE6548B" w:rsidR="00BA1A84" w:rsidRPr="00BA1A84" w:rsidRDefault="1A61147E" w:rsidP="008201C5">
      <w:pPr>
        <w:pStyle w:val="ParNoG"/>
        <w:rPr>
          <w:lang w:val="en-US" w:eastAsia="zh-CN"/>
        </w:rPr>
      </w:pPr>
      <w:r w:rsidRPr="3E56B61F">
        <w:rPr>
          <w:lang w:eastAsia="zh-CN"/>
        </w:rPr>
        <w:t xml:space="preserve">The Meeting was opened on 10 September 2024 by Ambassador Francisca Elizabeth Méndez Escobar of Mexico, President of the Twelfth Meeting of States Parties. An opening ceremony featured messages by </w:t>
      </w:r>
      <w:r w:rsidR="4BAFC51D" w:rsidRPr="3E56B61F">
        <w:rPr>
          <w:lang w:val="en-US" w:eastAsia="zh-CN"/>
        </w:rPr>
        <w:t>Joel Antonio Hern</w:t>
      </w:r>
      <w:r w:rsidR="1BD18331" w:rsidRPr="3E56B61F">
        <w:rPr>
          <w:lang w:val="en-US" w:eastAsia="zh-CN"/>
        </w:rPr>
        <w:t>á</w:t>
      </w:r>
      <w:r w:rsidR="4BAFC51D" w:rsidRPr="3E56B61F">
        <w:rPr>
          <w:lang w:val="en-US" w:eastAsia="zh-CN"/>
        </w:rPr>
        <w:t>ndez Garc</w:t>
      </w:r>
      <w:r w:rsidR="1BD18331" w:rsidRPr="3E56B61F">
        <w:rPr>
          <w:lang w:val="en-US" w:eastAsia="zh-CN"/>
        </w:rPr>
        <w:t>í</w:t>
      </w:r>
      <w:r w:rsidR="4BAFC51D" w:rsidRPr="3E56B61F">
        <w:rPr>
          <w:lang w:val="en-US" w:eastAsia="zh-CN"/>
        </w:rPr>
        <w:t>a</w:t>
      </w:r>
      <w:r w:rsidRPr="3E56B61F">
        <w:rPr>
          <w:lang w:val="en-US" w:eastAsia="zh-CN"/>
        </w:rPr>
        <w:t xml:space="preserve">, </w:t>
      </w:r>
      <w:r w:rsidR="4BAFC51D" w:rsidRPr="3E56B61F">
        <w:rPr>
          <w:lang w:val="en-US" w:eastAsia="zh-CN"/>
        </w:rPr>
        <w:t xml:space="preserve">Under </w:t>
      </w:r>
      <w:r w:rsidRPr="3E56B61F">
        <w:rPr>
          <w:lang w:val="en-US" w:eastAsia="zh-CN"/>
        </w:rPr>
        <w:t xml:space="preserve">Secretary </w:t>
      </w:r>
      <w:r w:rsidR="4BAFC51D" w:rsidRPr="3E56B61F">
        <w:rPr>
          <w:lang w:val="en-US" w:eastAsia="zh-CN"/>
        </w:rPr>
        <w:t>for Multilateral Affairs and Human Rights</w:t>
      </w:r>
      <w:r w:rsidRPr="3E56B61F">
        <w:rPr>
          <w:lang w:val="en-US" w:eastAsia="zh-CN"/>
        </w:rPr>
        <w:t xml:space="preserve"> of Mexico; Ambassador Julien Thöni of Switzerland, on behalf of the host country; the High Representative for Disarmament Affairs, Izumi Nakamitsu, who also delivered a </w:t>
      </w:r>
      <w:r w:rsidR="6BBFD4C9" w:rsidRPr="3E56B61F">
        <w:rPr>
          <w:lang w:val="en-US" w:eastAsia="zh-CN"/>
        </w:rPr>
        <w:t xml:space="preserve">joint </w:t>
      </w:r>
      <w:r w:rsidR="75C6E744" w:rsidRPr="3E56B61F">
        <w:rPr>
          <w:lang w:val="en-US" w:eastAsia="zh-CN"/>
        </w:rPr>
        <w:t>Under</w:t>
      </w:r>
      <w:r w:rsidR="03B89C60" w:rsidRPr="3E56B61F">
        <w:rPr>
          <w:lang w:val="en-US" w:eastAsia="zh-CN"/>
        </w:rPr>
        <w:t>-</w:t>
      </w:r>
      <w:r w:rsidR="75C6E744" w:rsidRPr="3E56B61F">
        <w:rPr>
          <w:lang w:val="en-US" w:eastAsia="zh-CN"/>
        </w:rPr>
        <w:t>Secretary</w:t>
      </w:r>
      <w:r w:rsidR="03B89C60" w:rsidRPr="3E56B61F">
        <w:rPr>
          <w:lang w:val="en-US" w:eastAsia="zh-CN"/>
        </w:rPr>
        <w:t>-</w:t>
      </w:r>
      <w:r w:rsidR="75C6E744" w:rsidRPr="3E56B61F">
        <w:rPr>
          <w:lang w:val="en-US" w:eastAsia="zh-CN"/>
        </w:rPr>
        <w:t>General</w:t>
      </w:r>
      <w:r w:rsidR="32F51274" w:rsidRPr="3E56B61F">
        <w:rPr>
          <w:lang w:val="en-US" w:eastAsia="zh-CN"/>
        </w:rPr>
        <w:t>s</w:t>
      </w:r>
      <w:r w:rsidR="75C6E744" w:rsidRPr="3E56B61F">
        <w:rPr>
          <w:lang w:val="en-US" w:eastAsia="zh-CN"/>
        </w:rPr>
        <w:t xml:space="preserve">’ </w:t>
      </w:r>
      <w:r w:rsidRPr="3E56B61F">
        <w:rPr>
          <w:lang w:val="en-US" w:eastAsia="zh-CN"/>
        </w:rPr>
        <w:t xml:space="preserve">message on behalf of </w:t>
      </w:r>
      <w:r w:rsidRPr="3E56B61F">
        <w:rPr>
          <w:lang w:eastAsia="zh-CN"/>
        </w:rPr>
        <w:t xml:space="preserve">the United Nations Office for Disarmament Affairs (UNODA), the United Nations Office for the Coordination of Humanitarian Affairs (OCHA), the Office of the United Nations High Commissioner for Human Rights, the United Nations Department of Peace Operations, and the United Nations Children’s Fund (UNICEF); </w:t>
      </w:r>
      <w:r w:rsidRPr="3E56B61F">
        <w:rPr>
          <w:lang w:val="en-US" w:eastAsia="zh-CN"/>
        </w:rPr>
        <w:t xml:space="preserve">Gilles Carbonnier, Vice President of the International Committee of the Red Cross (ICRC); </w:t>
      </w:r>
      <w:proofErr w:type="spellStart"/>
      <w:r w:rsidRPr="3E56B61F">
        <w:rPr>
          <w:lang w:val="en-US" w:eastAsia="zh-CN"/>
        </w:rPr>
        <w:t>Habbouba</w:t>
      </w:r>
      <w:proofErr w:type="spellEnd"/>
      <w:r w:rsidRPr="3E56B61F">
        <w:rPr>
          <w:lang w:val="en-US" w:eastAsia="zh-CN"/>
        </w:rPr>
        <w:t xml:space="preserve"> Aoun, Director of the Landmines Resource Center, University of </w:t>
      </w:r>
      <w:proofErr w:type="spellStart"/>
      <w:r w:rsidRPr="3E56B61F">
        <w:rPr>
          <w:lang w:val="en-US" w:eastAsia="zh-CN"/>
        </w:rPr>
        <w:t>Balamand</w:t>
      </w:r>
      <w:proofErr w:type="spellEnd"/>
      <w:r w:rsidRPr="3E56B61F">
        <w:rPr>
          <w:lang w:val="en-US" w:eastAsia="zh-CN"/>
        </w:rPr>
        <w:t xml:space="preserve">, Lebanon, on behalf of the Cluster Munition Coalition; </w:t>
      </w:r>
      <w:proofErr w:type="spellStart"/>
      <w:r w:rsidRPr="3E56B61F">
        <w:rPr>
          <w:lang w:val="en-US" w:eastAsia="zh-CN"/>
        </w:rPr>
        <w:t>Raed</w:t>
      </w:r>
      <w:proofErr w:type="spellEnd"/>
      <w:r w:rsidRPr="3E56B61F">
        <w:rPr>
          <w:lang w:val="en-US" w:eastAsia="zh-CN"/>
        </w:rPr>
        <w:t xml:space="preserve"> </w:t>
      </w:r>
      <w:proofErr w:type="spellStart"/>
      <w:r w:rsidRPr="3E56B61F">
        <w:rPr>
          <w:lang w:val="en-US" w:eastAsia="zh-CN"/>
        </w:rPr>
        <w:t>Mokaled</w:t>
      </w:r>
      <w:proofErr w:type="spellEnd"/>
      <w:r w:rsidRPr="3E56B61F">
        <w:rPr>
          <w:lang w:val="en-US" w:eastAsia="zh-CN"/>
        </w:rPr>
        <w:t xml:space="preserve">, on behalf of the cluster munition victims; Juliany Alcocer, winner of the </w:t>
      </w:r>
      <w:r w:rsidR="686025BB" w:rsidRPr="3E56B61F">
        <w:rPr>
          <w:lang w:val="en-US" w:eastAsia="zh-CN"/>
        </w:rPr>
        <w:t>Youth Multimedia Contest</w:t>
      </w:r>
      <w:r w:rsidR="2E90F311" w:rsidRPr="3E56B61F">
        <w:rPr>
          <w:lang w:val="en-US" w:eastAsia="zh-CN"/>
        </w:rPr>
        <w:t xml:space="preserve"> </w:t>
      </w:r>
      <w:r w:rsidR="54A92DB3" w:rsidRPr="3E56B61F">
        <w:rPr>
          <w:lang w:val="en-US" w:eastAsia="zh-CN"/>
        </w:rPr>
        <w:t>“</w:t>
      </w:r>
      <w:r w:rsidR="686025BB" w:rsidRPr="3E56B61F">
        <w:rPr>
          <w:lang w:val="en-US" w:eastAsia="zh-CN"/>
        </w:rPr>
        <w:t>Youth for Humanitarian Disarmament:</w:t>
      </w:r>
      <w:r w:rsidR="21FB6F25" w:rsidRPr="3E56B61F">
        <w:rPr>
          <w:lang w:val="en-US" w:eastAsia="zh-CN"/>
        </w:rPr>
        <w:t xml:space="preserve"> </w:t>
      </w:r>
      <w:r w:rsidR="686025BB" w:rsidRPr="3E56B61F">
        <w:rPr>
          <w:lang w:val="en-US" w:eastAsia="zh-CN"/>
        </w:rPr>
        <w:t>Advancing the goals of the Convention on Cluster Munitions</w:t>
      </w:r>
      <w:r w:rsidR="6853B79A" w:rsidRPr="3E56B61F">
        <w:rPr>
          <w:lang w:val="en-US" w:eastAsia="zh-CN"/>
        </w:rPr>
        <w:t>”</w:t>
      </w:r>
      <w:r w:rsidRPr="3E56B61F">
        <w:rPr>
          <w:lang w:val="en-US" w:eastAsia="zh-CN"/>
        </w:rPr>
        <w:t xml:space="preserve">, </w:t>
      </w:r>
      <w:r w:rsidR="490BCE0B" w:rsidRPr="3E56B61F">
        <w:rPr>
          <w:lang w:val="en-US" w:eastAsia="zh-CN"/>
        </w:rPr>
        <w:t xml:space="preserve">organized by Mexico with the </w:t>
      </w:r>
      <w:r w:rsidRPr="3E56B61F">
        <w:rPr>
          <w:lang w:val="en-US" w:eastAsia="zh-CN"/>
        </w:rPr>
        <w:t>support</w:t>
      </w:r>
      <w:r w:rsidR="490BCE0B" w:rsidRPr="3E56B61F">
        <w:rPr>
          <w:lang w:val="en-US" w:eastAsia="zh-CN"/>
        </w:rPr>
        <w:t xml:space="preserve"> of </w:t>
      </w:r>
      <w:r w:rsidRPr="3E56B61F">
        <w:rPr>
          <w:lang w:val="en-US" w:eastAsia="zh-CN"/>
        </w:rPr>
        <w:t>the European Union</w:t>
      </w:r>
      <w:r w:rsidR="3B701CE6" w:rsidRPr="3E56B61F">
        <w:rPr>
          <w:lang w:val="en-US" w:eastAsia="zh-CN"/>
        </w:rPr>
        <w:t>,</w:t>
      </w:r>
      <w:r w:rsidR="490BCE0B" w:rsidRPr="3E56B61F">
        <w:rPr>
          <w:lang w:val="en-US" w:eastAsia="zh-CN"/>
        </w:rPr>
        <w:t xml:space="preserve"> the Implementation Support Unit (ISU)</w:t>
      </w:r>
      <w:r w:rsidR="3B701CE6" w:rsidRPr="3E56B61F">
        <w:rPr>
          <w:lang w:val="en-US" w:eastAsia="zh-CN"/>
        </w:rPr>
        <w:t>, and ODA</w:t>
      </w:r>
      <w:r w:rsidR="34412CFC" w:rsidRPr="3E56B61F">
        <w:rPr>
          <w:lang w:val="en-US" w:eastAsia="zh-CN"/>
        </w:rPr>
        <w:t xml:space="preserve">. As part of </w:t>
      </w:r>
      <w:r w:rsidR="34412CFC" w:rsidRPr="3E56B61F">
        <w:rPr>
          <w:lang w:eastAsia="zh-CN"/>
        </w:rPr>
        <w:t xml:space="preserve">the opening ceremony, the Meeting </w:t>
      </w:r>
      <w:r w:rsidRPr="3E56B61F">
        <w:rPr>
          <w:lang w:val="en-US" w:eastAsia="zh-CN"/>
        </w:rPr>
        <w:t xml:space="preserve">also watched the winning video project </w:t>
      </w:r>
      <w:r w:rsidR="116650DF" w:rsidRPr="3E56B61F">
        <w:rPr>
          <w:lang w:val="en-US" w:eastAsia="zh-CN"/>
        </w:rPr>
        <w:t xml:space="preserve">of the youth multimedia contest </w:t>
      </w:r>
      <w:r w:rsidRPr="3E56B61F">
        <w:rPr>
          <w:lang w:val="en-US" w:eastAsia="zh-CN"/>
        </w:rPr>
        <w:t>titled “Peace Across Borders”.</w:t>
      </w:r>
    </w:p>
    <w:p w14:paraId="3BC94539" w14:textId="773D3907" w:rsidR="00BA1A84" w:rsidRPr="00BA1A84" w:rsidRDefault="00BA1A84" w:rsidP="008201C5">
      <w:pPr>
        <w:pStyle w:val="ParNoG"/>
        <w:rPr>
          <w:lang w:eastAsia="zh-CN"/>
        </w:rPr>
      </w:pPr>
      <w:r w:rsidRPr="00BA1A84">
        <w:rPr>
          <w:lang w:eastAsia="zh-CN"/>
        </w:rPr>
        <w:t>At the first plenary session, on 10 September 2024, the Meeting adopted its agenda, as contained in document CCM/MSP/2024/1, confirmed its Rules of Procedure, as contained in CCM/MSP/2010/3, and took note of the Annotated provisional programme of work, as contained in CCM/MSP/2024/2/Rev.1. The Meeting also unanimously confirmed the observer status of the organizations, participating under rule 1.3 of the Rules of Procedure.</w:t>
      </w:r>
    </w:p>
    <w:p w14:paraId="6561587D" w14:textId="20014A2B" w:rsidR="00D307B1" w:rsidRDefault="00BA1A84" w:rsidP="008201C5">
      <w:pPr>
        <w:pStyle w:val="ParNoG"/>
        <w:rPr>
          <w:lang w:eastAsia="zh-CN"/>
        </w:rPr>
      </w:pPr>
      <w:bookmarkStart w:id="2" w:name="_Hlk176950168"/>
      <w:r w:rsidRPr="006D2E6B">
        <w:rPr>
          <w:lang w:eastAsia="zh-CN"/>
        </w:rPr>
        <w:lastRenderedPageBreak/>
        <w:t xml:space="preserve">Also at the first plenary session, </w:t>
      </w:r>
      <w:bookmarkEnd w:id="2"/>
      <w:r w:rsidRPr="00BA1A84">
        <w:rPr>
          <w:lang w:val="en-US" w:eastAsia="zh-CN"/>
        </w:rPr>
        <w:t xml:space="preserve">Sri Lanka, Switzerland, the United Kingdom of Great Britain and Northern Ireland, and Iraq </w:t>
      </w:r>
      <w:r w:rsidRPr="006D2E6B">
        <w:rPr>
          <w:lang w:eastAsia="zh-CN"/>
        </w:rPr>
        <w:t>were elected by acclamation as Vice-Presidents of the Twe</w:t>
      </w:r>
      <w:r w:rsidRPr="00BA1A84">
        <w:rPr>
          <w:lang w:eastAsia="zh-CN"/>
        </w:rPr>
        <w:t xml:space="preserve">lfth </w:t>
      </w:r>
      <w:r w:rsidRPr="006D2E6B">
        <w:rPr>
          <w:lang w:eastAsia="zh-CN"/>
        </w:rPr>
        <w:t>Meeting of States Parties.</w:t>
      </w:r>
    </w:p>
    <w:p w14:paraId="2BAFB658" w14:textId="33548ABD" w:rsidR="00BA1A84" w:rsidRDefault="01F39622" w:rsidP="008201C5">
      <w:pPr>
        <w:pStyle w:val="ParNoG"/>
        <w:rPr>
          <w:lang w:val="en-US" w:eastAsia="zh-CN"/>
        </w:rPr>
      </w:pPr>
      <w:r w:rsidRPr="3E56B61F">
        <w:rPr>
          <w:lang w:eastAsia="zh-CN"/>
        </w:rPr>
        <w:t>Also at the first plenary session, t</w:t>
      </w:r>
      <w:r w:rsidR="1A61147E" w:rsidRPr="3E56B61F">
        <w:rPr>
          <w:lang w:eastAsia="zh-CN"/>
        </w:rPr>
        <w:t xml:space="preserve">he Meeting unanimously confirmed the nomination </w:t>
      </w:r>
      <w:r w:rsidR="1A61147E" w:rsidRPr="3E56B61F">
        <w:rPr>
          <w:lang w:val="en-US" w:eastAsia="zh-CN"/>
        </w:rPr>
        <w:t xml:space="preserve">of </w:t>
      </w:r>
      <w:r w:rsidR="24AAAE0A" w:rsidRPr="3E56B61F">
        <w:rPr>
          <w:lang w:val="en-US" w:eastAsia="zh-CN"/>
        </w:rPr>
        <w:t xml:space="preserve">C. </w:t>
      </w:r>
      <w:r w:rsidR="1A61147E" w:rsidRPr="3E56B61F">
        <w:rPr>
          <w:lang w:val="en-US" w:eastAsia="zh-CN"/>
        </w:rPr>
        <w:t>Mélanie Régimbal, Chief of Service of the Conference on Disarmament and Conference Support Branch of the United Nations Office for Disarmament Affairs as Secretary-General of the Twelfth Meeting of States Parties.</w:t>
      </w:r>
    </w:p>
    <w:p w14:paraId="3E001F20" w14:textId="40CEA213" w:rsidR="004B2660" w:rsidRDefault="0075341E" w:rsidP="008201C5">
      <w:pPr>
        <w:pStyle w:val="ParNoG"/>
        <w:rPr>
          <w:lang w:eastAsia="zh-CN"/>
        </w:rPr>
      </w:pPr>
      <w:r w:rsidRPr="006D2E6B">
        <w:rPr>
          <w:lang w:eastAsia="zh-CN"/>
        </w:rPr>
        <w:t xml:space="preserve">At the first </w:t>
      </w:r>
      <w:r w:rsidR="001E3681">
        <w:rPr>
          <w:lang w:eastAsia="zh-CN"/>
        </w:rPr>
        <w:t xml:space="preserve">and </w:t>
      </w:r>
      <w:r w:rsidR="009A701E">
        <w:rPr>
          <w:lang w:eastAsia="zh-CN"/>
        </w:rPr>
        <w:t xml:space="preserve">the fifth </w:t>
      </w:r>
      <w:r w:rsidRPr="006D2E6B">
        <w:rPr>
          <w:lang w:eastAsia="zh-CN"/>
        </w:rPr>
        <w:t>plenary session</w:t>
      </w:r>
      <w:r w:rsidR="009A701E">
        <w:rPr>
          <w:lang w:eastAsia="zh-CN"/>
        </w:rPr>
        <w:t>s</w:t>
      </w:r>
      <w:r w:rsidRPr="006D2E6B">
        <w:rPr>
          <w:lang w:eastAsia="zh-CN"/>
        </w:rPr>
        <w:t>,</w:t>
      </w:r>
      <w:r>
        <w:rPr>
          <w:lang w:eastAsia="zh-CN"/>
        </w:rPr>
        <w:t xml:space="preserve"> the Meeting </w:t>
      </w:r>
      <w:r w:rsidR="004602B6">
        <w:rPr>
          <w:lang w:eastAsia="zh-CN"/>
        </w:rPr>
        <w:t xml:space="preserve">considered </w:t>
      </w:r>
      <w:r w:rsidR="00615F3A">
        <w:rPr>
          <w:lang w:eastAsia="zh-CN"/>
        </w:rPr>
        <w:t xml:space="preserve">the </w:t>
      </w:r>
      <w:r w:rsidR="004602B6">
        <w:rPr>
          <w:lang w:eastAsia="zh-CN"/>
        </w:rPr>
        <w:t>requests</w:t>
      </w:r>
      <w:r w:rsidR="00615F3A">
        <w:rPr>
          <w:lang w:eastAsia="zh-CN"/>
        </w:rPr>
        <w:t xml:space="preserve"> presented </w:t>
      </w:r>
      <w:r w:rsidR="002008A8" w:rsidRPr="004B2660">
        <w:rPr>
          <w:lang w:eastAsia="zh-CN"/>
        </w:rPr>
        <w:t>under Article 4 of the Convention</w:t>
      </w:r>
      <w:r w:rsidR="002008A8">
        <w:rPr>
          <w:lang w:eastAsia="zh-CN"/>
        </w:rPr>
        <w:t xml:space="preserve"> </w:t>
      </w:r>
      <w:r w:rsidR="00615F3A">
        <w:rPr>
          <w:lang w:eastAsia="zh-CN"/>
        </w:rPr>
        <w:t xml:space="preserve">by </w:t>
      </w:r>
      <w:r w:rsidR="002008A8">
        <w:rPr>
          <w:lang w:eastAsia="zh-CN"/>
        </w:rPr>
        <w:t xml:space="preserve">Chad, </w:t>
      </w:r>
      <w:r w:rsidR="00615F3A">
        <w:rPr>
          <w:lang w:eastAsia="zh-CN"/>
        </w:rPr>
        <w:t>Germany, and Lao People’s Democratic Republic</w:t>
      </w:r>
      <w:r w:rsidR="00A60B94">
        <w:rPr>
          <w:lang w:eastAsia="zh-CN"/>
        </w:rPr>
        <w:t>,</w:t>
      </w:r>
      <w:r w:rsidR="004602B6">
        <w:rPr>
          <w:lang w:eastAsia="zh-CN"/>
        </w:rPr>
        <w:t xml:space="preserve"> </w:t>
      </w:r>
      <w:r w:rsidR="002008A8" w:rsidRPr="00F0567C">
        <w:rPr>
          <w:lang w:eastAsia="zh-CN"/>
        </w:rPr>
        <w:t xml:space="preserve">for extension of the deadline for completing </w:t>
      </w:r>
      <w:r w:rsidR="002008A8">
        <w:rPr>
          <w:lang w:eastAsia="zh-CN"/>
        </w:rPr>
        <w:t xml:space="preserve">clearance and </w:t>
      </w:r>
      <w:r w:rsidR="002008A8" w:rsidRPr="009155E1">
        <w:rPr>
          <w:lang w:eastAsia="zh-CN"/>
        </w:rPr>
        <w:t xml:space="preserve">destruction of cluster munition remnants located in cluster munition contaminated areas under </w:t>
      </w:r>
      <w:r w:rsidR="009906A2">
        <w:rPr>
          <w:lang w:eastAsia="zh-CN"/>
        </w:rPr>
        <w:t>their</w:t>
      </w:r>
      <w:r w:rsidR="002008A8" w:rsidRPr="009155E1">
        <w:rPr>
          <w:lang w:eastAsia="zh-CN"/>
        </w:rPr>
        <w:t xml:space="preserve"> jurisdiction or control</w:t>
      </w:r>
      <w:r w:rsidR="00856C32">
        <w:rPr>
          <w:lang w:eastAsia="zh-CN"/>
        </w:rPr>
        <w:t xml:space="preserve">. </w:t>
      </w:r>
      <w:r w:rsidR="008D17C2">
        <w:rPr>
          <w:lang w:eastAsia="zh-CN"/>
        </w:rPr>
        <w:t>Italy and Norway, o</w:t>
      </w:r>
      <w:r w:rsidR="00856C32">
        <w:rPr>
          <w:lang w:eastAsia="zh-CN"/>
        </w:rPr>
        <w:t>n behalf of the</w:t>
      </w:r>
      <w:r w:rsidR="004B2660" w:rsidRPr="004B2660">
        <w:rPr>
          <w:lang w:eastAsia="zh-CN"/>
        </w:rPr>
        <w:t xml:space="preserve"> </w:t>
      </w:r>
      <w:r w:rsidR="008D17C2" w:rsidRPr="008D17C2">
        <w:rPr>
          <w:lang w:eastAsia="zh-CN"/>
        </w:rPr>
        <w:t>Analysis group for Article 4 extension</w:t>
      </w:r>
      <w:r w:rsidR="003465A4">
        <w:rPr>
          <w:lang w:eastAsia="zh-CN"/>
        </w:rPr>
        <w:t xml:space="preserve">, presented </w:t>
      </w:r>
      <w:r w:rsidR="008D17C2">
        <w:rPr>
          <w:lang w:eastAsia="zh-CN"/>
        </w:rPr>
        <w:t>the analys</w:t>
      </w:r>
      <w:r w:rsidR="009906A2">
        <w:rPr>
          <w:lang w:eastAsia="zh-CN"/>
        </w:rPr>
        <w:t>e</w:t>
      </w:r>
      <w:r w:rsidR="008D17C2">
        <w:rPr>
          <w:lang w:eastAsia="zh-CN"/>
        </w:rPr>
        <w:t xml:space="preserve">s of </w:t>
      </w:r>
      <w:r w:rsidR="004B2660" w:rsidRPr="004B2660">
        <w:rPr>
          <w:lang w:eastAsia="zh-CN"/>
        </w:rPr>
        <w:t>these requests</w:t>
      </w:r>
      <w:r w:rsidR="00A60B94">
        <w:rPr>
          <w:lang w:eastAsia="zh-CN"/>
        </w:rPr>
        <w:t>, as contained</w:t>
      </w:r>
      <w:r w:rsidR="008D17C2">
        <w:rPr>
          <w:lang w:eastAsia="zh-CN"/>
        </w:rPr>
        <w:t xml:space="preserve"> in </w:t>
      </w:r>
      <w:bookmarkStart w:id="3" w:name="_Hlk176951410"/>
      <w:r w:rsidR="008D17C2">
        <w:rPr>
          <w:lang w:eastAsia="zh-CN"/>
        </w:rPr>
        <w:t>CCM/MSP/2024/4</w:t>
      </w:r>
      <w:bookmarkEnd w:id="3"/>
      <w:r w:rsidR="008D17C2">
        <w:rPr>
          <w:lang w:eastAsia="zh-CN"/>
        </w:rPr>
        <w:t xml:space="preserve">, </w:t>
      </w:r>
      <w:r w:rsidR="002D27C4" w:rsidRPr="002D27C4">
        <w:rPr>
          <w:lang w:eastAsia="zh-CN"/>
        </w:rPr>
        <w:t>CCM/MSP/2024/</w:t>
      </w:r>
      <w:r w:rsidR="000508A8">
        <w:rPr>
          <w:lang w:eastAsia="zh-CN"/>
        </w:rPr>
        <w:t xml:space="preserve">5, and </w:t>
      </w:r>
      <w:r w:rsidR="002D27C4" w:rsidRPr="002D27C4">
        <w:rPr>
          <w:lang w:eastAsia="zh-CN"/>
        </w:rPr>
        <w:t>CCM/MSP/2024/</w:t>
      </w:r>
      <w:r w:rsidR="000508A8">
        <w:rPr>
          <w:lang w:eastAsia="zh-CN"/>
        </w:rPr>
        <w:t>6, respectively.</w:t>
      </w:r>
    </w:p>
    <w:p w14:paraId="20708BB4" w14:textId="310A5CAD" w:rsidR="00BA1A84" w:rsidRDefault="00641853" w:rsidP="008201C5">
      <w:pPr>
        <w:pStyle w:val="ParNoG"/>
        <w:rPr>
          <w:lang w:val="en-US" w:eastAsia="zh-CN"/>
        </w:rPr>
      </w:pPr>
      <w:r>
        <w:rPr>
          <w:lang w:eastAsia="zh-CN"/>
        </w:rPr>
        <w:t>At</w:t>
      </w:r>
      <w:r w:rsidR="001061CF" w:rsidRPr="00BA1A84">
        <w:rPr>
          <w:lang w:eastAsia="zh-CN"/>
        </w:rPr>
        <w:t xml:space="preserve"> the </w:t>
      </w:r>
      <w:r w:rsidR="001061CF">
        <w:rPr>
          <w:lang w:eastAsia="zh-CN"/>
        </w:rPr>
        <w:t>second and third</w:t>
      </w:r>
      <w:r w:rsidR="001061CF" w:rsidRPr="00BA1A84">
        <w:rPr>
          <w:lang w:eastAsia="zh-CN"/>
        </w:rPr>
        <w:t xml:space="preserve"> plenary sessions, States Parties and observer delegations delivered statements of a general nature</w:t>
      </w:r>
      <w:r w:rsidR="001061CF" w:rsidRPr="00BA1A84">
        <w:rPr>
          <w:lang w:val="en-US" w:eastAsia="zh-CN"/>
        </w:rPr>
        <w:t>.</w:t>
      </w:r>
    </w:p>
    <w:p w14:paraId="1084F26C" w14:textId="33F0FEAE" w:rsidR="009D691D" w:rsidRPr="009D691D" w:rsidRDefault="00641853" w:rsidP="008201C5">
      <w:pPr>
        <w:pStyle w:val="ParNoG"/>
        <w:rPr>
          <w:lang w:eastAsia="zh-CN"/>
        </w:rPr>
      </w:pPr>
      <w:r>
        <w:rPr>
          <w:lang w:eastAsia="zh-CN"/>
        </w:rPr>
        <w:t>At</w:t>
      </w:r>
      <w:r w:rsidR="00D92B2C" w:rsidRPr="00BA1A84">
        <w:rPr>
          <w:lang w:eastAsia="zh-CN"/>
        </w:rPr>
        <w:t xml:space="preserve"> the </w:t>
      </w:r>
      <w:r w:rsidR="00D92B2C" w:rsidRPr="00D92B2C">
        <w:rPr>
          <w:lang w:eastAsia="zh-CN"/>
        </w:rPr>
        <w:t>third</w:t>
      </w:r>
      <w:r w:rsidR="000F119B">
        <w:rPr>
          <w:lang w:eastAsia="zh-CN"/>
        </w:rPr>
        <w:t xml:space="preserve">, </w:t>
      </w:r>
      <w:r w:rsidR="00137E43" w:rsidRPr="000F119B">
        <w:rPr>
          <w:lang w:eastAsia="zh-CN"/>
        </w:rPr>
        <w:t>fourth</w:t>
      </w:r>
      <w:r w:rsidR="000F119B">
        <w:rPr>
          <w:lang w:eastAsia="zh-CN"/>
        </w:rPr>
        <w:t>, and fifth</w:t>
      </w:r>
      <w:r w:rsidR="00D92B2C" w:rsidRPr="00BA1A84">
        <w:rPr>
          <w:lang w:eastAsia="zh-CN"/>
        </w:rPr>
        <w:t xml:space="preserve"> plenary sessions</w:t>
      </w:r>
      <w:r w:rsidR="00137E43">
        <w:rPr>
          <w:lang w:eastAsia="zh-CN"/>
        </w:rPr>
        <w:t xml:space="preserve"> the Meeting</w:t>
      </w:r>
      <w:r w:rsidR="00275445">
        <w:rPr>
          <w:lang w:eastAsia="zh-CN"/>
        </w:rPr>
        <w:t xml:space="preserve"> considered the </w:t>
      </w:r>
      <w:r w:rsidR="005F3D7F">
        <w:rPr>
          <w:lang w:eastAsia="zh-CN"/>
        </w:rPr>
        <w:t xml:space="preserve">status and </w:t>
      </w:r>
      <w:r w:rsidR="001A72BE">
        <w:rPr>
          <w:lang w:eastAsia="zh-CN"/>
        </w:rPr>
        <w:t xml:space="preserve">operation of the Convention </w:t>
      </w:r>
      <w:r w:rsidR="003F646A" w:rsidRPr="003F646A">
        <w:rPr>
          <w:lang w:eastAsia="zh-CN"/>
        </w:rPr>
        <w:t>and other matters important for achieving the aims of the Convention</w:t>
      </w:r>
      <w:r w:rsidR="005F3D7F" w:rsidRPr="009D691D">
        <w:rPr>
          <w:lang w:eastAsia="zh-CN"/>
        </w:rPr>
        <w:t xml:space="preserve">, reviewing progress made and challenges that remain in the pursuit of the Convention’s goals and in the application of the </w:t>
      </w:r>
      <w:r w:rsidR="00911299">
        <w:rPr>
          <w:lang w:eastAsia="zh-CN"/>
        </w:rPr>
        <w:t xml:space="preserve">Lausanne </w:t>
      </w:r>
      <w:r w:rsidR="005F3D7F" w:rsidRPr="009D691D">
        <w:rPr>
          <w:lang w:eastAsia="zh-CN"/>
        </w:rPr>
        <w:t>Action Plan 20</w:t>
      </w:r>
      <w:r w:rsidR="000E1E6F">
        <w:rPr>
          <w:lang w:eastAsia="zh-CN"/>
        </w:rPr>
        <w:t>2</w:t>
      </w:r>
      <w:r w:rsidR="005F3D7F" w:rsidRPr="009D691D">
        <w:rPr>
          <w:lang w:eastAsia="zh-CN"/>
        </w:rPr>
        <w:t>1 – 202</w:t>
      </w:r>
      <w:r w:rsidR="000E1E6F">
        <w:rPr>
          <w:lang w:eastAsia="zh-CN"/>
        </w:rPr>
        <w:t>6</w:t>
      </w:r>
      <w:r w:rsidR="005F3D7F" w:rsidRPr="009D691D">
        <w:rPr>
          <w:lang w:eastAsia="zh-CN"/>
        </w:rPr>
        <w:t xml:space="preserve">, as contained in </w:t>
      </w:r>
      <w:bookmarkStart w:id="4" w:name="_Hlk56523260"/>
      <w:r w:rsidR="00722B6D">
        <w:rPr>
          <w:lang w:eastAsia="zh-CN"/>
        </w:rPr>
        <w:t>CCM</w:t>
      </w:r>
      <w:r w:rsidR="005F3D7F" w:rsidRPr="009D691D">
        <w:rPr>
          <w:lang w:eastAsia="zh-CN"/>
        </w:rPr>
        <w:t>/MSP/202</w:t>
      </w:r>
      <w:r w:rsidR="00722B6D">
        <w:rPr>
          <w:lang w:eastAsia="zh-CN"/>
        </w:rPr>
        <w:t>4</w:t>
      </w:r>
      <w:r w:rsidR="005F3D7F" w:rsidRPr="009D691D">
        <w:rPr>
          <w:lang w:eastAsia="zh-CN"/>
        </w:rPr>
        <w:t>/</w:t>
      </w:r>
      <w:bookmarkEnd w:id="4"/>
      <w:r w:rsidR="00722B6D">
        <w:rPr>
          <w:lang w:eastAsia="zh-CN"/>
        </w:rPr>
        <w:t>7</w:t>
      </w:r>
      <w:r w:rsidR="006C3E70">
        <w:rPr>
          <w:lang w:eastAsia="zh-CN"/>
        </w:rPr>
        <w:t xml:space="preserve"> titled</w:t>
      </w:r>
      <w:r w:rsidR="005F3D7F" w:rsidRPr="009D691D">
        <w:rPr>
          <w:lang w:eastAsia="zh-CN"/>
        </w:rPr>
        <w:t xml:space="preserve"> “</w:t>
      </w:r>
      <w:r w:rsidR="009768F1" w:rsidRPr="009768F1">
        <w:rPr>
          <w:lang w:eastAsia="zh-CN"/>
        </w:rPr>
        <w:t xml:space="preserve">Convention on Cluster Munitions 12MSP </w:t>
      </w:r>
      <w:r w:rsidR="009768F1">
        <w:rPr>
          <w:lang w:eastAsia="zh-CN"/>
        </w:rPr>
        <w:t xml:space="preserve">Progress Report: </w:t>
      </w:r>
      <w:r w:rsidR="006C3E70" w:rsidRPr="006C3E70">
        <w:rPr>
          <w:lang w:eastAsia="zh-CN"/>
        </w:rPr>
        <w:t>Monitoring progress in implementing the Lausanne Action Plan</w:t>
      </w:r>
      <w:r w:rsidR="005F3D7F" w:rsidRPr="009D691D">
        <w:rPr>
          <w:lang w:eastAsia="zh-CN"/>
        </w:rPr>
        <w:t>”</w:t>
      </w:r>
      <w:bookmarkStart w:id="5" w:name="_Hlk151560196"/>
      <w:r w:rsidR="009D691D" w:rsidRPr="009D691D">
        <w:rPr>
          <w:lang w:eastAsia="zh-CN"/>
        </w:rPr>
        <w:t>.</w:t>
      </w:r>
      <w:bookmarkEnd w:id="5"/>
    </w:p>
    <w:p w14:paraId="426B98BA" w14:textId="7B21043C" w:rsidR="00AE7B05" w:rsidRDefault="0097769F" w:rsidP="008201C5">
      <w:pPr>
        <w:pStyle w:val="ParNoG"/>
        <w:rPr>
          <w:lang w:eastAsia="zh-CN"/>
        </w:rPr>
      </w:pPr>
      <w:proofErr w:type="gramStart"/>
      <w:r w:rsidRPr="0097769F">
        <w:rPr>
          <w:lang w:eastAsia="zh-CN"/>
        </w:rPr>
        <w:t>Also</w:t>
      </w:r>
      <w:proofErr w:type="gramEnd"/>
      <w:r w:rsidRPr="0097769F">
        <w:rPr>
          <w:lang w:eastAsia="zh-CN"/>
        </w:rPr>
        <w:t xml:space="preserve"> in the context of its consideration of the operation and status of the Convention, </w:t>
      </w:r>
      <w:r w:rsidR="009F2CC7">
        <w:rPr>
          <w:lang w:val="en-US" w:eastAsia="zh-CN"/>
        </w:rPr>
        <w:t xml:space="preserve">the Meeting considered the </w:t>
      </w:r>
      <w:r w:rsidR="00E262F4">
        <w:rPr>
          <w:lang w:val="en-US" w:eastAsia="zh-CN"/>
        </w:rPr>
        <w:t xml:space="preserve">activities of the </w:t>
      </w:r>
      <w:r w:rsidR="00E262F4" w:rsidRPr="00E262F4">
        <w:rPr>
          <w:lang w:eastAsia="zh-CN"/>
        </w:rPr>
        <w:t>Working group on Universalization</w:t>
      </w:r>
      <w:r w:rsidR="00D911E6" w:rsidRPr="00D911E6">
        <w:rPr>
          <w:lang w:eastAsia="zh-CN"/>
        </w:rPr>
        <w:t xml:space="preserve">. In particular, </w:t>
      </w:r>
      <w:r w:rsidR="00E262F4">
        <w:rPr>
          <w:lang w:eastAsia="zh-CN"/>
        </w:rPr>
        <w:t>Malawi and Peru</w:t>
      </w:r>
      <w:r w:rsidR="00D911E6" w:rsidRPr="00D911E6">
        <w:rPr>
          <w:lang w:eastAsia="zh-CN"/>
        </w:rPr>
        <w:t xml:space="preserve">, in </w:t>
      </w:r>
      <w:r w:rsidR="00E262F4">
        <w:rPr>
          <w:lang w:eastAsia="zh-CN"/>
        </w:rPr>
        <w:t xml:space="preserve">their </w:t>
      </w:r>
      <w:r w:rsidR="00D911E6" w:rsidRPr="00D911E6">
        <w:rPr>
          <w:lang w:eastAsia="zh-CN"/>
        </w:rPr>
        <w:t>capacity as the C</w:t>
      </w:r>
      <w:r w:rsidR="00F13331">
        <w:rPr>
          <w:lang w:eastAsia="zh-CN"/>
        </w:rPr>
        <w:t>oordinators</w:t>
      </w:r>
      <w:r w:rsidR="00AE7B05">
        <w:rPr>
          <w:lang w:eastAsia="zh-CN"/>
        </w:rPr>
        <w:t xml:space="preserve"> of the Working Group</w:t>
      </w:r>
      <w:r w:rsidR="00D911E6" w:rsidRPr="00D911E6">
        <w:rPr>
          <w:lang w:eastAsia="zh-CN"/>
        </w:rPr>
        <w:t xml:space="preserve">, reported on the </w:t>
      </w:r>
      <w:r w:rsidR="00F13331">
        <w:rPr>
          <w:lang w:eastAsia="zh-CN"/>
        </w:rPr>
        <w:t xml:space="preserve">activities to promote the universalization </w:t>
      </w:r>
      <w:r w:rsidR="00AE7B05">
        <w:rPr>
          <w:lang w:eastAsia="zh-CN"/>
        </w:rPr>
        <w:t>of the Convention on Cluster Munitions</w:t>
      </w:r>
      <w:r w:rsidR="00DB2E55">
        <w:rPr>
          <w:lang w:eastAsia="zh-CN"/>
        </w:rPr>
        <w:t xml:space="preserve"> and actions </w:t>
      </w:r>
      <w:r w:rsidR="002203A1">
        <w:rPr>
          <w:lang w:eastAsia="zh-CN"/>
        </w:rPr>
        <w:t>#10 and #11 of the Lausanne Action Plan</w:t>
      </w:r>
      <w:r w:rsidR="00AE7B05">
        <w:rPr>
          <w:lang w:eastAsia="zh-CN"/>
        </w:rPr>
        <w:t xml:space="preserve">. </w:t>
      </w:r>
      <w:r w:rsidR="00993B28" w:rsidRPr="0097769F">
        <w:rPr>
          <w:lang w:val="en-US" w:eastAsia="zh-CN"/>
        </w:rPr>
        <w:t xml:space="preserve">Updates </w:t>
      </w:r>
      <w:r w:rsidR="00993B28">
        <w:rPr>
          <w:lang w:val="en-US" w:eastAsia="zh-CN"/>
        </w:rPr>
        <w:t xml:space="preserve">on </w:t>
      </w:r>
      <w:r w:rsidR="00993B28" w:rsidRPr="0097769F">
        <w:rPr>
          <w:lang w:eastAsia="zh-CN"/>
        </w:rPr>
        <w:t>actions that have been undertaken in the pursuit of the universalization of the Convention</w:t>
      </w:r>
      <w:r w:rsidR="00993B28" w:rsidRPr="0097769F">
        <w:rPr>
          <w:lang w:val="en-US" w:eastAsia="zh-CN"/>
        </w:rPr>
        <w:t xml:space="preserve"> were provided by States Parties, States not party,</w:t>
      </w:r>
      <w:r w:rsidR="00993B28" w:rsidRPr="0097769F">
        <w:rPr>
          <w:lang w:eastAsia="zh-CN"/>
        </w:rPr>
        <w:t xml:space="preserve"> as well as by interested organisations.</w:t>
      </w:r>
    </w:p>
    <w:p w14:paraId="3842534B" w14:textId="57AB4D74" w:rsidR="00114200" w:rsidRDefault="007D5839" w:rsidP="008201C5">
      <w:pPr>
        <w:pStyle w:val="ParNoG"/>
        <w:rPr>
          <w:lang w:eastAsia="zh-CN"/>
        </w:rPr>
      </w:pPr>
      <w:bookmarkStart w:id="6" w:name="_Hlk176960988"/>
      <w:proofErr w:type="gramStart"/>
      <w:r w:rsidRPr="0097769F">
        <w:rPr>
          <w:lang w:eastAsia="zh-CN"/>
        </w:rPr>
        <w:t>Also</w:t>
      </w:r>
      <w:proofErr w:type="gramEnd"/>
      <w:r w:rsidRPr="0097769F">
        <w:rPr>
          <w:lang w:eastAsia="zh-CN"/>
        </w:rPr>
        <w:t xml:space="preserve"> in the context of its consideration of the operation and status of the Convention, </w:t>
      </w:r>
      <w:r w:rsidRPr="007D5839">
        <w:rPr>
          <w:lang w:val="en-US" w:eastAsia="zh-CN"/>
        </w:rPr>
        <w:t xml:space="preserve">the Meeting </w:t>
      </w:r>
      <w:bookmarkEnd w:id="6"/>
      <w:r w:rsidRPr="007D5839">
        <w:rPr>
          <w:lang w:val="en-US" w:eastAsia="zh-CN"/>
        </w:rPr>
        <w:t xml:space="preserve">considered the activities of the </w:t>
      </w:r>
      <w:r w:rsidR="0011727D" w:rsidRPr="0011727D">
        <w:rPr>
          <w:lang w:eastAsia="zh-CN"/>
        </w:rPr>
        <w:t>Working group on Stockpile destruction and retention</w:t>
      </w:r>
      <w:r w:rsidRPr="00D911E6">
        <w:rPr>
          <w:lang w:eastAsia="zh-CN"/>
        </w:rPr>
        <w:t>.</w:t>
      </w:r>
      <w:r w:rsidR="0011727D" w:rsidRPr="0011727D">
        <w:rPr>
          <w:lang w:eastAsia="zh-CN"/>
        </w:rPr>
        <w:t xml:space="preserve"> </w:t>
      </w:r>
      <w:r w:rsidR="0011727D" w:rsidRPr="00D911E6">
        <w:rPr>
          <w:lang w:eastAsia="zh-CN"/>
        </w:rPr>
        <w:t xml:space="preserve">In particular, </w:t>
      </w:r>
      <w:r w:rsidR="002A256B" w:rsidRPr="002A256B">
        <w:rPr>
          <w:lang w:eastAsia="zh-CN"/>
        </w:rPr>
        <w:t>the Netherlands</w:t>
      </w:r>
      <w:r w:rsidR="002A256B">
        <w:rPr>
          <w:lang w:eastAsia="zh-CN"/>
        </w:rPr>
        <w:t xml:space="preserve"> and Zambia</w:t>
      </w:r>
      <w:r w:rsidR="0011727D" w:rsidRPr="00D911E6">
        <w:rPr>
          <w:lang w:eastAsia="zh-CN"/>
        </w:rPr>
        <w:t xml:space="preserve">, in </w:t>
      </w:r>
      <w:r w:rsidR="0011727D" w:rsidRPr="0011727D">
        <w:rPr>
          <w:lang w:eastAsia="zh-CN"/>
        </w:rPr>
        <w:t xml:space="preserve">their </w:t>
      </w:r>
      <w:r w:rsidR="0011727D" w:rsidRPr="00D911E6">
        <w:rPr>
          <w:lang w:eastAsia="zh-CN"/>
        </w:rPr>
        <w:t>capacity as the C</w:t>
      </w:r>
      <w:r w:rsidR="0011727D" w:rsidRPr="0011727D">
        <w:rPr>
          <w:lang w:eastAsia="zh-CN"/>
        </w:rPr>
        <w:t>oordinators of the Working Group</w:t>
      </w:r>
      <w:r w:rsidR="0011727D" w:rsidRPr="00D911E6">
        <w:rPr>
          <w:lang w:eastAsia="zh-CN"/>
        </w:rPr>
        <w:t xml:space="preserve">, reported on the </w:t>
      </w:r>
      <w:r w:rsidR="0011727D" w:rsidRPr="0011727D">
        <w:rPr>
          <w:lang w:eastAsia="zh-CN"/>
        </w:rPr>
        <w:t xml:space="preserve">activities </w:t>
      </w:r>
      <w:r w:rsidR="008776AC">
        <w:rPr>
          <w:lang w:eastAsia="zh-CN"/>
        </w:rPr>
        <w:t xml:space="preserve">undertaken </w:t>
      </w:r>
      <w:r w:rsidR="00BF18CB">
        <w:rPr>
          <w:lang w:eastAsia="zh-CN"/>
        </w:rPr>
        <w:t>in the implementation of article 4 obligations</w:t>
      </w:r>
      <w:r w:rsidR="0032793C">
        <w:rPr>
          <w:lang w:eastAsia="zh-CN"/>
        </w:rPr>
        <w:t xml:space="preserve"> and a</w:t>
      </w:r>
      <w:r w:rsidR="00AF7E1C">
        <w:rPr>
          <w:lang w:eastAsia="zh-CN"/>
        </w:rPr>
        <w:t>c</w:t>
      </w:r>
      <w:r w:rsidR="0032793C">
        <w:rPr>
          <w:lang w:eastAsia="zh-CN"/>
        </w:rPr>
        <w:t xml:space="preserve">tions </w:t>
      </w:r>
      <w:r w:rsidR="00AF7E1C">
        <w:rPr>
          <w:lang w:eastAsia="zh-CN"/>
        </w:rPr>
        <w:t>#12 to #17 of the Lausanne Action Plan</w:t>
      </w:r>
      <w:r w:rsidR="00BF18CB">
        <w:rPr>
          <w:lang w:eastAsia="zh-CN"/>
        </w:rPr>
        <w:t xml:space="preserve">, including </w:t>
      </w:r>
      <w:r w:rsidR="00660E64">
        <w:rPr>
          <w:lang w:eastAsia="zh-CN"/>
        </w:rPr>
        <w:t xml:space="preserve">the destruction of the stockpiles of the </w:t>
      </w:r>
      <w:r w:rsidR="0023178E">
        <w:rPr>
          <w:lang w:eastAsia="zh-CN"/>
        </w:rPr>
        <w:t>cluster munitions and the</w:t>
      </w:r>
      <w:r w:rsidR="007421C4" w:rsidRPr="007421C4">
        <w:rPr>
          <w:lang w:eastAsia="zh-CN"/>
        </w:rPr>
        <w:t xml:space="preserve"> retention or acquisition of cluster munitions </w:t>
      </w:r>
      <w:r w:rsidR="00ED76E2">
        <w:rPr>
          <w:lang w:eastAsia="zh-CN"/>
        </w:rPr>
        <w:t xml:space="preserve">pursuant to </w:t>
      </w:r>
      <w:r w:rsidR="007421C4">
        <w:rPr>
          <w:lang w:eastAsia="zh-CN"/>
        </w:rPr>
        <w:t>article 3(6) of the Convention.</w:t>
      </w:r>
    </w:p>
    <w:p w14:paraId="647373C3" w14:textId="0BC9374F" w:rsidR="00F34F99" w:rsidRDefault="00F34F99" w:rsidP="008201C5">
      <w:pPr>
        <w:pStyle w:val="ParNoG"/>
        <w:rPr>
          <w:lang w:eastAsia="zh-CN"/>
        </w:rPr>
      </w:pPr>
      <w:bookmarkStart w:id="7" w:name="_Hlk176961511"/>
      <w:proofErr w:type="gramStart"/>
      <w:r w:rsidRPr="0097769F">
        <w:rPr>
          <w:lang w:eastAsia="zh-CN"/>
        </w:rPr>
        <w:t>Also</w:t>
      </w:r>
      <w:proofErr w:type="gramEnd"/>
      <w:r w:rsidRPr="0097769F">
        <w:rPr>
          <w:lang w:eastAsia="zh-CN"/>
        </w:rPr>
        <w:t xml:space="preserve"> in the context of its consideration of the operation and status of the Convention</w:t>
      </w:r>
      <w:r w:rsidR="00A91FA7" w:rsidRPr="00A91FA7">
        <w:rPr>
          <w:lang w:val="en-US" w:eastAsia="zh-CN"/>
        </w:rPr>
        <w:t xml:space="preserve"> </w:t>
      </w:r>
      <w:r w:rsidR="00A91FA7">
        <w:rPr>
          <w:lang w:val="en-US" w:eastAsia="zh-CN"/>
        </w:rPr>
        <w:t>and pursuant to action #13 of the Lausanne Action Plan</w:t>
      </w:r>
      <w:r w:rsidRPr="0097769F">
        <w:rPr>
          <w:lang w:eastAsia="zh-CN"/>
        </w:rPr>
        <w:t xml:space="preserve">, </w:t>
      </w:r>
      <w:r w:rsidRPr="00F34F99">
        <w:rPr>
          <w:lang w:val="en-US" w:eastAsia="zh-CN"/>
        </w:rPr>
        <w:t>the Meeting</w:t>
      </w:r>
      <w:r w:rsidR="00597595">
        <w:rPr>
          <w:lang w:val="en-US" w:eastAsia="zh-CN"/>
        </w:rPr>
        <w:t xml:space="preserve"> </w:t>
      </w:r>
      <w:r w:rsidR="009827C2">
        <w:rPr>
          <w:lang w:val="en-US" w:eastAsia="zh-CN"/>
        </w:rPr>
        <w:t>heard</w:t>
      </w:r>
      <w:r w:rsidR="00E354CA">
        <w:rPr>
          <w:lang w:val="en-US" w:eastAsia="zh-CN"/>
        </w:rPr>
        <w:t xml:space="preserve"> </w:t>
      </w:r>
      <w:r w:rsidR="009827C2">
        <w:rPr>
          <w:lang w:val="en-US" w:eastAsia="zh-CN"/>
        </w:rPr>
        <w:t>the official declaration</w:t>
      </w:r>
      <w:r w:rsidR="00E354CA">
        <w:rPr>
          <w:lang w:val="en-US" w:eastAsia="zh-CN"/>
        </w:rPr>
        <w:t xml:space="preserve"> </w:t>
      </w:r>
      <w:r w:rsidR="002D2D67">
        <w:rPr>
          <w:lang w:val="en-US" w:eastAsia="zh-CN"/>
        </w:rPr>
        <w:t>of compliance with the article 3 obligations by South Africa and P</w:t>
      </w:r>
      <w:r w:rsidR="00D17444">
        <w:rPr>
          <w:lang w:val="en-US" w:eastAsia="zh-CN"/>
        </w:rPr>
        <w:t>e</w:t>
      </w:r>
      <w:r w:rsidR="002D2D67">
        <w:rPr>
          <w:lang w:val="en-US" w:eastAsia="zh-CN"/>
        </w:rPr>
        <w:t>ru</w:t>
      </w:r>
      <w:r w:rsidR="003E3CC1">
        <w:rPr>
          <w:lang w:val="en-US" w:eastAsia="zh-CN"/>
        </w:rPr>
        <w:t>,</w:t>
      </w:r>
      <w:r w:rsidR="00D17444">
        <w:rPr>
          <w:lang w:val="en-US" w:eastAsia="zh-CN"/>
        </w:rPr>
        <w:t xml:space="preserve"> and witnessed the </w:t>
      </w:r>
      <w:r w:rsidR="00F63D2C">
        <w:rPr>
          <w:lang w:val="en-US" w:eastAsia="zh-CN"/>
        </w:rPr>
        <w:t xml:space="preserve">handover by the two States </w:t>
      </w:r>
      <w:r w:rsidR="00D3726B">
        <w:rPr>
          <w:lang w:val="en-US" w:eastAsia="zh-CN"/>
        </w:rPr>
        <w:t xml:space="preserve">Parties </w:t>
      </w:r>
      <w:r w:rsidR="00F63D2C">
        <w:rPr>
          <w:lang w:val="en-US" w:eastAsia="zh-CN"/>
        </w:rPr>
        <w:t xml:space="preserve">of their respective </w:t>
      </w:r>
      <w:r w:rsidR="007660BB">
        <w:rPr>
          <w:lang w:val="en-US" w:eastAsia="zh-CN"/>
        </w:rPr>
        <w:t>Declarations of Compliance to the President of the Meeting</w:t>
      </w:r>
      <w:r w:rsidR="00D17444">
        <w:rPr>
          <w:lang w:val="en-US" w:eastAsia="zh-CN"/>
        </w:rPr>
        <w:t>.</w:t>
      </w:r>
      <w:r w:rsidR="002D2D67">
        <w:rPr>
          <w:lang w:val="en-US" w:eastAsia="zh-CN"/>
        </w:rPr>
        <w:t xml:space="preserve"> </w:t>
      </w:r>
    </w:p>
    <w:p w14:paraId="7D1FDD3B" w14:textId="10E2DEC6" w:rsidR="001803DF" w:rsidRPr="001803DF" w:rsidRDefault="4435E7DF" w:rsidP="008201C5">
      <w:pPr>
        <w:pStyle w:val="ParNoG"/>
        <w:rPr>
          <w:lang w:eastAsia="zh-CN"/>
        </w:rPr>
      </w:pPr>
      <w:bookmarkStart w:id="8" w:name="_Hlk176965892"/>
      <w:bookmarkEnd w:id="7"/>
      <w:proofErr w:type="gramStart"/>
      <w:r w:rsidRPr="3E56B61F">
        <w:rPr>
          <w:lang w:eastAsia="zh-CN"/>
        </w:rPr>
        <w:t>Also</w:t>
      </w:r>
      <w:proofErr w:type="gramEnd"/>
      <w:r w:rsidRPr="3E56B61F">
        <w:rPr>
          <w:lang w:eastAsia="zh-CN"/>
        </w:rPr>
        <w:t xml:space="preserve"> in the context of its consideration of the operation and status of the Convention, </w:t>
      </w:r>
      <w:r w:rsidRPr="3E56B61F">
        <w:rPr>
          <w:lang w:val="en-US" w:eastAsia="zh-CN"/>
        </w:rPr>
        <w:t>the Meeting</w:t>
      </w:r>
      <w:bookmarkEnd w:id="8"/>
      <w:r w:rsidRPr="3E56B61F">
        <w:rPr>
          <w:lang w:val="en-US" w:eastAsia="zh-CN"/>
        </w:rPr>
        <w:t xml:space="preserve"> considered the activities of the </w:t>
      </w:r>
      <w:bookmarkStart w:id="9" w:name="_Hlk176965639"/>
      <w:r w:rsidR="22F9D424" w:rsidRPr="3E56B61F">
        <w:rPr>
          <w:lang w:eastAsia="zh-CN"/>
        </w:rPr>
        <w:t>Working group on Clearance and risk reduction</w:t>
      </w:r>
      <w:bookmarkEnd w:id="9"/>
      <w:r w:rsidR="680DD908" w:rsidRPr="3E56B61F">
        <w:rPr>
          <w:lang w:eastAsia="zh-CN"/>
        </w:rPr>
        <w:t>. In particular, the N</w:t>
      </w:r>
      <w:r w:rsidR="3B64662F" w:rsidRPr="3E56B61F">
        <w:rPr>
          <w:lang w:eastAsia="zh-CN"/>
        </w:rPr>
        <w:t>orway</w:t>
      </w:r>
      <w:r w:rsidR="680DD908" w:rsidRPr="3E56B61F">
        <w:rPr>
          <w:lang w:eastAsia="zh-CN"/>
        </w:rPr>
        <w:t xml:space="preserve"> an</w:t>
      </w:r>
      <w:r w:rsidR="73E64A7D" w:rsidRPr="3E56B61F">
        <w:rPr>
          <w:lang w:eastAsia="zh-CN"/>
        </w:rPr>
        <w:t>d Italy</w:t>
      </w:r>
      <w:r w:rsidR="680DD908" w:rsidRPr="3E56B61F">
        <w:rPr>
          <w:lang w:eastAsia="zh-CN"/>
        </w:rPr>
        <w:t>, in their capacity as the Coordinators of the Working Group, reported on the activities to promot</w:t>
      </w:r>
      <w:r w:rsidR="38EE6F25" w:rsidRPr="3E56B61F">
        <w:rPr>
          <w:lang w:eastAsia="zh-CN"/>
        </w:rPr>
        <w:t>ing</w:t>
      </w:r>
      <w:r w:rsidR="680DD908" w:rsidRPr="3E56B61F">
        <w:rPr>
          <w:lang w:eastAsia="zh-CN"/>
        </w:rPr>
        <w:t xml:space="preserve"> </w:t>
      </w:r>
      <w:r w:rsidR="73E64A7D" w:rsidRPr="3E56B61F">
        <w:rPr>
          <w:lang w:eastAsia="zh-CN"/>
        </w:rPr>
        <w:t xml:space="preserve">implementation of </w:t>
      </w:r>
      <w:r w:rsidR="38EE6F25" w:rsidRPr="3E56B61F">
        <w:rPr>
          <w:lang w:eastAsia="zh-CN"/>
        </w:rPr>
        <w:t>article 4 of the Convention.</w:t>
      </w:r>
      <w:r w:rsidR="680DD908" w:rsidRPr="3E56B61F">
        <w:rPr>
          <w:lang w:eastAsia="zh-CN"/>
        </w:rPr>
        <w:t xml:space="preserve"> </w:t>
      </w:r>
      <w:r w:rsidR="6DE746C6" w:rsidRPr="3E56B61F">
        <w:rPr>
          <w:lang w:eastAsia="zh-CN"/>
        </w:rPr>
        <w:t xml:space="preserve">The Meeting also considered a working paper </w:t>
      </w:r>
      <w:r w:rsidR="3D9E4C26" w:rsidRPr="3E56B61F">
        <w:rPr>
          <w:lang w:eastAsia="zh-CN"/>
        </w:rPr>
        <w:t xml:space="preserve">and </w:t>
      </w:r>
      <w:r w:rsidR="098D6AB0" w:rsidRPr="3E56B61F">
        <w:rPr>
          <w:lang w:eastAsia="zh-CN"/>
        </w:rPr>
        <w:t xml:space="preserve">the </w:t>
      </w:r>
      <w:r w:rsidR="3D9E4C26" w:rsidRPr="3E56B61F">
        <w:rPr>
          <w:lang w:eastAsia="zh-CN"/>
        </w:rPr>
        <w:t>recommendations contained therein</w:t>
      </w:r>
      <w:r w:rsidR="098D6AB0" w:rsidRPr="3E56B61F">
        <w:rPr>
          <w:lang w:eastAsia="zh-CN"/>
        </w:rPr>
        <w:t xml:space="preserve"> </w:t>
      </w:r>
      <w:r w:rsidR="6DE746C6" w:rsidRPr="3E56B61F">
        <w:rPr>
          <w:lang w:eastAsia="zh-CN"/>
        </w:rPr>
        <w:t xml:space="preserve">submitted by the Coordinators </w:t>
      </w:r>
      <w:bookmarkStart w:id="10" w:name="_Hlk176965939"/>
      <w:r w:rsidR="6DE746C6" w:rsidRPr="3E56B61F">
        <w:rPr>
          <w:lang w:eastAsia="zh-CN"/>
        </w:rPr>
        <w:t>of the Working group on Clearance and risk reduction</w:t>
      </w:r>
      <w:r w:rsidR="6DE746C6" w:rsidRPr="3E56B61F">
        <w:rPr>
          <w:lang w:val="en-US" w:eastAsia="zh-CN"/>
        </w:rPr>
        <w:t xml:space="preserve"> </w:t>
      </w:r>
      <w:r w:rsidR="3D9BDFD3" w:rsidRPr="3E56B61F">
        <w:rPr>
          <w:lang w:val="en-US" w:eastAsia="zh-CN"/>
        </w:rPr>
        <w:t>on</w:t>
      </w:r>
      <w:bookmarkEnd w:id="10"/>
      <w:r w:rsidR="3D9BDFD3" w:rsidRPr="3E56B61F">
        <w:rPr>
          <w:lang w:val="en-US" w:eastAsia="zh-CN"/>
        </w:rPr>
        <w:t xml:space="preserve"> </w:t>
      </w:r>
      <w:r w:rsidR="6B7D9DED" w:rsidRPr="3E56B61F">
        <w:rPr>
          <w:lang w:val="en-US" w:eastAsia="zh-CN"/>
        </w:rPr>
        <w:t>“</w:t>
      </w:r>
      <w:bookmarkStart w:id="11" w:name="_Hlk176966080"/>
      <w:r w:rsidR="0E6CD191" w:rsidRPr="3E56B61F">
        <w:rPr>
          <w:lang w:eastAsia="zh-CN"/>
        </w:rPr>
        <w:t>Explosive Ordnance Risk Education (EORE) in the Convention on Cluster Munitions (CCM</w:t>
      </w:r>
      <w:r w:rsidR="6B7D9DED" w:rsidRPr="3E56B61F">
        <w:rPr>
          <w:lang w:eastAsia="zh-CN"/>
        </w:rPr>
        <w:t>)”</w:t>
      </w:r>
      <w:r w:rsidR="3D9BDFD3" w:rsidRPr="3E56B61F">
        <w:rPr>
          <w:lang w:val="en-US" w:eastAsia="zh-CN"/>
        </w:rPr>
        <w:t>, as contained in document CCM/MSP/2024/WP.1</w:t>
      </w:r>
      <w:bookmarkStart w:id="12" w:name="_Hlk176966895"/>
      <w:bookmarkEnd w:id="11"/>
      <w:r w:rsidR="3D9BDFD3" w:rsidRPr="3E56B61F">
        <w:rPr>
          <w:lang w:val="en-US" w:eastAsia="zh-CN"/>
        </w:rPr>
        <w:t xml:space="preserve">. </w:t>
      </w:r>
      <w:r w:rsidR="680DD908" w:rsidRPr="3E56B61F">
        <w:rPr>
          <w:lang w:val="en-US" w:eastAsia="zh-CN"/>
        </w:rPr>
        <w:t xml:space="preserve">Updates </w:t>
      </w:r>
      <w:r w:rsidR="6DE746C6" w:rsidRPr="3E56B61F">
        <w:rPr>
          <w:lang w:eastAsia="zh-CN"/>
        </w:rPr>
        <w:t xml:space="preserve">were provided </w:t>
      </w:r>
      <w:r w:rsidR="3FEACFAC" w:rsidRPr="3E56B61F">
        <w:rPr>
          <w:lang w:eastAsia="zh-CN"/>
        </w:rPr>
        <w:t>by States Parties that are still in the process of clearing cluster munition contaminated areas pursuant to Article 4 of the Convention</w:t>
      </w:r>
      <w:r w:rsidR="680DD908" w:rsidRPr="3E56B61F">
        <w:rPr>
          <w:lang w:val="en-US" w:eastAsia="zh-CN"/>
        </w:rPr>
        <w:t xml:space="preserve">, </w:t>
      </w:r>
      <w:r w:rsidR="1C009AED" w:rsidRPr="3E56B61F">
        <w:rPr>
          <w:lang w:eastAsia="zh-CN"/>
        </w:rPr>
        <w:t xml:space="preserve">as well as by </w:t>
      </w:r>
      <w:r w:rsidR="680DD908" w:rsidRPr="3E56B61F">
        <w:rPr>
          <w:lang w:val="en-US" w:eastAsia="zh-CN"/>
        </w:rPr>
        <w:t>States not party</w:t>
      </w:r>
      <w:r w:rsidR="6DE746C6" w:rsidRPr="3E56B61F">
        <w:rPr>
          <w:lang w:val="en-US" w:eastAsia="zh-CN"/>
        </w:rPr>
        <w:t xml:space="preserve"> and other </w:t>
      </w:r>
      <w:r w:rsidR="680DD908" w:rsidRPr="3E56B61F">
        <w:rPr>
          <w:lang w:eastAsia="zh-CN"/>
        </w:rPr>
        <w:t>interested organisations.</w:t>
      </w:r>
    </w:p>
    <w:bookmarkEnd w:id="12"/>
    <w:p w14:paraId="08D81A50" w14:textId="0909E202" w:rsidR="009E58FA" w:rsidRDefault="005F56D3" w:rsidP="008201C5">
      <w:pPr>
        <w:pStyle w:val="ParNoG"/>
        <w:rPr>
          <w:lang w:eastAsia="zh-CN"/>
        </w:rPr>
      </w:pPr>
      <w:proofErr w:type="gramStart"/>
      <w:r w:rsidRPr="0097769F">
        <w:rPr>
          <w:lang w:eastAsia="zh-CN"/>
        </w:rPr>
        <w:t>Also</w:t>
      </w:r>
      <w:proofErr w:type="gramEnd"/>
      <w:r w:rsidRPr="0097769F">
        <w:rPr>
          <w:lang w:eastAsia="zh-CN"/>
        </w:rPr>
        <w:t xml:space="preserve"> in the context of its consideration of the operation and status of the Convention, </w:t>
      </w:r>
      <w:r w:rsidRPr="005F56D3">
        <w:rPr>
          <w:lang w:val="en-US" w:eastAsia="zh-CN"/>
        </w:rPr>
        <w:t xml:space="preserve">the Meeting considered the activities of the </w:t>
      </w:r>
      <w:r w:rsidR="00123157" w:rsidRPr="00123157">
        <w:rPr>
          <w:lang w:eastAsia="zh-CN"/>
        </w:rPr>
        <w:t>Working group on Victim Assistance</w:t>
      </w:r>
      <w:r w:rsidRPr="00D911E6">
        <w:rPr>
          <w:lang w:eastAsia="zh-CN"/>
        </w:rPr>
        <w:t>.</w:t>
      </w:r>
      <w:r w:rsidRPr="005F56D3">
        <w:rPr>
          <w:lang w:eastAsia="zh-CN"/>
        </w:rPr>
        <w:t xml:space="preserve"> </w:t>
      </w:r>
      <w:r w:rsidRPr="00D911E6">
        <w:rPr>
          <w:lang w:eastAsia="zh-CN"/>
        </w:rPr>
        <w:t xml:space="preserve">In particular, </w:t>
      </w:r>
      <w:r w:rsidR="006552BB">
        <w:rPr>
          <w:lang w:eastAsia="zh-CN"/>
        </w:rPr>
        <w:t>Austria and Panama</w:t>
      </w:r>
      <w:r w:rsidRPr="00D911E6">
        <w:rPr>
          <w:lang w:eastAsia="zh-CN"/>
        </w:rPr>
        <w:t xml:space="preserve">, in </w:t>
      </w:r>
      <w:r w:rsidRPr="005F56D3">
        <w:rPr>
          <w:lang w:eastAsia="zh-CN"/>
        </w:rPr>
        <w:t xml:space="preserve">their </w:t>
      </w:r>
      <w:r w:rsidRPr="00D911E6">
        <w:rPr>
          <w:lang w:eastAsia="zh-CN"/>
        </w:rPr>
        <w:t>capacity as the C</w:t>
      </w:r>
      <w:r w:rsidRPr="005F56D3">
        <w:rPr>
          <w:lang w:eastAsia="zh-CN"/>
        </w:rPr>
        <w:t>oordinators of the Working Group</w:t>
      </w:r>
      <w:r w:rsidRPr="00D911E6">
        <w:rPr>
          <w:lang w:eastAsia="zh-CN"/>
        </w:rPr>
        <w:t xml:space="preserve">, </w:t>
      </w:r>
      <w:r w:rsidRPr="00D911E6">
        <w:rPr>
          <w:lang w:eastAsia="zh-CN"/>
        </w:rPr>
        <w:lastRenderedPageBreak/>
        <w:t xml:space="preserve">reported on the </w:t>
      </w:r>
      <w:r w:rsidRPr="005F56D3">
        <w:rPr>
          <w:lang w:eastAsia="zh-CN"/>
        </w:rPr>
        <w:t>activities undertaken in th</w:t>
      </w:r>
      <w:r w:rsidR="009E58FA">
        <w:rPr>
          <w:lang w:eastAsia="zh-CN"/>
        </w:rPr>
        <w:t>e</w:t>
      </w:r>
      <w:r w:rsidRPr="005F56D3">
        <w:rPr>
          <w:lang w:eastAsia="zh-CN"/>
        </w:rPr>
        <w:t xml:space="preserve"> implementation of </w:t>
      </w:r>
      <w:r w:rsidR="009E58FA">
        <w:rPr>
          <w:lang w:eastAsia="zh-CN"/>
        </w:rPr>
        <w:t>the victim assistance obligations</w:t>
      </w:r>
      <w:r w:rsidR="00AB6084">
        <w:rPr>
          <w:lang w:eastAsia="zh-CN"/>
        </w:rPr>
        <w:t xml:space="preserve"> under </w:t>
      </w:r>
      <w:r w:rsidR="0017363C">
        <w:rPr>
          <w:lang w:eastAsia="zh-CN"/>
        </w:rPr>
        <w:t>art.5 of the Convention and actions #31 – #37 of the Lausanne Action Plan</w:t>
      </w:r>
      <w:r w:rsidR="00270FDD">
        <w:rPr>
          <w:lang w:eastAsia="zh-CN"/>
        </w:rPr>
        <w:t>.</w:t>
      </w:r>
      <w:r w:rsidR="0017363C">
        <w:rPr>
          <w:lang w:eastAsia="zh-CN"/>
        </w:rPr>
        <w:t xml:space="preserve"> </w:t>
      </w:r>
      <w:r w:rsidR="00BC288C" w:rsidRPr="00BC288C">
        <w:rPr>
          <w:lang w:eastAsia="zh-CN"/>
        </w:rPr>
        <w:t xml:space="preserve">Updates on progress and challenges were provided by States Parties implementing victim assistance commitments on their efforts to fulfil </w:t>
      </w:r>
      <w:r w:rsidR="00525497">
        <w:rPr>
          <w:lang w:eastAsia="zh-CN"/>
        </w:rPr>
        <w:t xml:space="preserve">the article 5 </w:t>
      </w:r>
      <w:r w:rsidR="00BC288C" w:rsidRPr="00BC288C">
        <w:rPr>
          <w:lang w:eastAsia="zh-CN"/>
        </w:rPr>
        <w:t xml:space="preserve">obligations and on the </w:t>
      </w:r>
      <w:proofErr w:type="gramStart"/>
      <w:r w:rsidR="00BC288C" w:rsidRPr="00BC288C">
        <w:rPr>
          <w:lang w:eastAsia="zh-CN"/>
        </w:rPr>
        <w:t>steps</w:t>
      </w:r>
      <w:proofErr w:type="gramEnd"/>
      <w:r w:rsidR="00BC288C" w:rsidRPr="00BC288C">
        <w:rPr>
          <w:lang w:eastAsia="zh-CN"/>
        </w:rPr>
        <w:t xml:space="preserve"> they have taken to implement the victim assistance actions of the </w:t>
      </w:r>
      <w:r w:rsidR="00E7324F">
        <w:rPr>
          <w:lang w:eastAsia="zh-CN"/>
        </w:rPr>
        <w:t>Lausanne</w:t>
      </w:r>
      <w:r w:rsidR="00BC288C" w:rsidRPr="00BC288C">
        <w:rPr>
          <w:lang w:eastAsia="zh-CN"/>
        </w:rPr>
        <w:t xml:space="preserve"> Action Plan, as well as by other interested States and organisations</w:t>
      </w:r>
      <w:r w:rsidR="00E7324F">
        <w:rPr>
          <w:lang w:eastAsia="zh-CN"/>
        </w:rPr>
        <w:t>.</w:t>
      </w:r>
    </w:p>
    <w:p w14:paraId="33858DEE" w14:textId="511CE78E" w:rsidR="004760F6" w:rsidRDefault="004760F6" w:rsidP="008201C5">
      <w:pPr>
        <w:pStyle w:val="ParNoG"/>
        <w:rPr>
          <w:lang w:eastAsia="zh-CN"/>
        </w:rPr>
      </w:pPr>
      <w:proofErr w:type="gramStart"/>
      <w:r w:rsidRPr="004760F6">
        <w:rPr>
          <w:lang w:eastAsia="zh-CN"/>
        </w:rPr>
        <w:t>Also</w:t>
      </w:r>
      <w:proofErr w:type="gramEnd"/>
      <w:r w:rsidRPr="004760F6">
        <w:rPr>
          <w:lang w:eastAsia="zh-CN"/>
        </w:rPr>
        <w:t xml:space="preserve"> in the context of its consideration of the operation and status of the Convention, </w:t>
      </w:r>
      <w:r w:rsidRPr="004760F6">
        <w:rPr>
          <w:lang w:val="en-US" w:eastAsia="zh-CN"/>
        </w:rPr>
        <w:t xml:space="preserve">the Meeting considered the activities of the </w:t>
      </w:r>
      <w:r w:rsidRPr="004760F6">
        <w:rPr>
          <w:lang w:eastAsia="zh-CN"/>
        </w:rPr>
        <w:t xml:space="preserve">Working group on </w:t>
      </w:r>
      <w:r>
        <w:rPr>
          <w:lang w:eastAsia="zh-CN"/>
        </w:rPr>
        <w:t xml:space="preserve">Cooperation and </w:t>
      </w:r>
      <w:r w:rsidR="00850667">
        <w:rPr>
          <w:lang w:eastAsia="zh-CN"/>
        </w:rPr>
        <w:t>Assistance</w:t>
      </w:r>
      <w:r w:rsidRPr="004760F6">
        <w:rPr>
          <w:lang w:eastAsia="zh-CN"/>
        </w:rPr>
        <w:t xml:space="preserve">. In particular, </w:t>
      </w:r>
      <w:r w:rsidR="00850667">
        <w:rPr>
          <w:lang w:eastAsia="zh-CN"/>
        </w:rPr>
        <w:t>Switzerland</w:t>
      </w:r>
      <w:r w:rsidRPr="004760F6">
        <w:rPr>
          <w:lang w:eastAsia="zh-CN"/>
        </w:rPr>
        <w:t xml:space="preserve">, </w:t>
      </w:r>
      <w:r w:rsidR="00635948">
        <w:rPr>
          <w:lang w:eastAsia="zh-CN"/>
        </w:rPr>
        <w:t xml:space="preserve">on behalf of Lebanon </w:t>
      </w:r>
      <w:r w:rsidR="00635948" w:rsidRPr="004760F6">
        <w:rPr>
          <w:lang w:eastAsia="zh-CN"/>
        </w:rPr>
        <w:t xml:space="preserve">and </w:t>
      </w:r>
      <w:r w:rsidR="00675160">
        <w:rPr>
          <w:lang w:eastAsia="zh-CN"/>
        </w:rPr>
        <w:t xml:space="preserve">Switzerland </w:t>
      </w:r>
      <w:r w:rsidRPr="004760F6">
        <w:rPr>
          <w:lang w:eastAsia="zh-CN"/>
        </w:rPr>
        <w:t xml:space="preserve">in their capacity as the Coordinators of the Working Group, reported on the activities undertaken in the implementation of the </w:t>
      </w:r>
      <w:r w:rsidR="00AE4624">
        <w:rPr>
          <w:lang w:eastAsia="zh-CN"/>
        </w:rPr>
        <w:t xml:space="preserve">cooperation and assistance </w:t>
      </w:r>
      <w:r w:rsidR="002332A6">
        <w:rPr>
          <w:lang w:eastAsia="zh-CN"/>
        </w:rPr>
        <w:t xml:space="preserve">commitments </w:t>
      </w:r>
      <w:r w:rsidRPr="004760F6">
        <w:rPr>
          <w:lang w:eastAsia="zh-CN"/>
        </w:rPr>
        <w:t>under art</w:t>
      </w:r>
      <w:r w:rsidR="00893281">
        <w:rPr>
          <w:lang w:eastAsia="zh-CN"/>
        </w:rPr>
        <w:t xml:space="preserve">icle </w:t>
      </w:r>
      <w:r w:rsidR="002332A6">
        <w:rPr>
          <w:lang w:eastAsia="zh-CN"/>
        </w:rPr>
        <w:t>6</w:t>
      </w:r>
      <w:r w:rsidRPr="004760F6">
        <w:rPr>
          <w:lang w:eastAsia="zh-CN"/>
        </w:rPr>
        <w:t xml:space="preserve"> of the Convention and actions #3</w:t>
      </w:r>
      <w:r w:rsidR="00875D0B">
        <w:rPr>
          <w:lang w:eastAsia="zh-CN"/>
        </w:rPr>
        <w:t>8</w:t>
      </w:r>
      <w:r w:rsidRPr="004760F6">
        <w:rPr>
          <w:lang w:eastAsia="zh-CN"/>
        </w:rPr>
        <w:t xml:space="preserve"> – #</w:t>
      </w:r>
      <w:r w:rsidR="00875D0B">
        <w:rPr>
          <w:lang w:eastAsia="zh-CN"/>
        </w:rPr>
        <w:t>42</w:t>
      </w:r>
      <w:r w:rsidRPr="004760F6">
        <w:rPr>
          <w:lang w:eastAsia="zh-CN"/>
        </w:rPr>
        <w:t xml:space="preserve"> of the Lausanne Action Plan</w:t>
      </w:r>
      <w:r w:rsidR="00BA6C05">
        <w:rPr>
          <w:lang w:eastAsia="zh-CN"/>
        </w:rPr>
        <w:t>.</w:t>
      </w:r>
      <w:r w:rsidRPr="004760F6">
        <w:rPr>
          <w:lang w:eastAsia="zh-CN"/>
        </w:rPr>
        <w:t xml:space="preserve"> Updates on </w:t>
      </w:r>
      <w:r w:rsidR="00687013" w:rsidRPr="00687013">
        <w:rPr>
          <w:lang w:eastAsia="zh-CN"/>
        </w:rPr>
        <w:t xml:space="preserve">the efforts to foster cooperation and assistance and support the effective and efficient implementation of the Convention </w:t>
      </w:r>
      <w:r w:rsidR="00687013">
        <w:rPr>
          <w:lang w:eastAsia="zh-CN"/>
        </w:rPr>
        <w:t>were provided by States Parties</w:t>
      </w:r>
      <w:r w:rsidRPr="004760F6">
        <w:rPr>
          <w:lang w:eastAsia="zh-CN"/>
        </w:rPr>
        <w:t>, as well as by other interested States and organisations.</w:t>
      </w:r>
    </w:p>
    <w:p w14:paraId="74C9BFFC" w14:textId="2ECCC56B" w:rsidR="003F447F" w:rsidRDefault="00BA6C05" w:rsidP="008201C5">
      <w:pPr>
        <w:pStyle w:val="ParNoG"/>
        <w:rPr>
          <w:lang w:eastAsia="zh-CN"/>
        </w:rPr>
      </w:pPr>
      <w:bookmarkStart w:id="13" w:name="_Hlk177041572"/>
      <w:proofErr w:type="gramStart"/>
      <w:r w:rsidRPr="004760F6">
        <w:rPr>
          <w:lang w:eastAsia="zh-CN"/>
        </w:rPr>
        <w:t>Also</w:t>
      </w:r>
      <w:proofErr w:type="gramEnd"/>
      <w:r w:rsidRPr="004760F6">
        <w:rPr>
          <w:lang w:eastAsia="zh-CN"/>
        </w:rPr>
        <w:t xml:space="preserve"> in the context of its consideration of the operation and status of the Convention, </w:t>
      </w:r>
      <w:r w:rsidRPr="004760F6">
        <w:rPr>
          <w:lang w:val="en-US" w:eastAsia="zh-CN"/>
        </w:rPr>
        <w:t xml:space="preserve">the Meeting considered the </w:t>
      </w:r>
      <w:r w:rsidR="00732B49">
        <w:rPr>
          <w:lang w:val="en-US" w:eastAsia="zh-CN"/>
        </w:rPr>
        <w:t>transparency measures under article 7 of the Convention</w:t>
      </w:r>
      <w:r w:rsidRPr="004760F6">
        <w:rPr>
          <w:lang w:eastAsia="zh-CN"/>
        </w:rPr>
        <w:t xml:space="preserve">. In particular, </w:t>
      </w:r>
      <w:r w:rsidR="00732B49">
        <w:rPr>
          <w:lang w:eastAsia="zh-CN"/>
        </w:rPr>
        <w:t>Australia</w:t>
      </w:r>
      <w:r w:rsidRPr="004760F6">
        <w:rPr>
          <w:lang w:eastAsia="zh-CN"/>
        </w:rPr>
        <w:t xml:space="preserve">, in </w:t>
      </w:r>
      <w:r w:rsidR="00732B49">
        <w:rPr>
          <w:lang w:eastAsia="zh-CN"/>
        </w:rPr>
        <w:t>its</w:t>
      </w:r>
      <w:r w:rsidRPr="004760F6">
        <w:rPr>
          <w:lang w:eastAsia="zh-CN"/>
        </w:rPr>
        <w:t xml:space="preserve"> capacity as the Coordinators of the </w:t>
      </w:r>
      <w:r w:rsidR="00274F48" w:rsidRPr="00274F48">
        <w:rPr>
          <w:lang w:eastAsia="zh-CN"/>
        </w:rPr>
        <w:t>Transparency Measures</w:t>
      </w:r>
      <w:r w:rsidRPr="004760F6">
        <w:rPr>
          <w:lang w:eastAsia="zh-CN"/>
        </w:rPr>
        <w:t xml:space="preserve">, reported on the activities undertaken in the implementation of the </w:t>
      </w:r>
      <w:r w:rsidRPr="00BA6C05">
        <w:rPr>
          <w:lang w:eastAsia="zh-CN"/>
        </w:rPr>
        <w:t xml:space="preserve">commitments </w:t>
      </w:r>
      <w:r w:rsidRPr="004760F6">
        <w:rPr>
          <w:lang w:eastAsia="zh-CN"/>
        </w:rPr>
        <w:t>under art.</w:t>
      </w:r>
      <w:r w:rsidR="003A7AE4">
        <w:rPr>
          <w:lang w:eastAsia="zh-CN"/>
        </w:rPr>
        <w:t>7</w:t>
      </w:r>
      <w:r w:rsidRPr="004760F6">
        <w:rPr>
          <w:lang w:eastAsia="zh-CN"/>
        </w:rPr>
        <w:t xml:space="preserve"> of the Convention and actions #</w:t>
      </w:r>
      <w:r w:rsidR="003A7AE4">
        <w:rPr>
          <w:lang w:eastAsia="zh-CN"/>
        </w:rPr>
        <w:t>43</w:t>
      </w:r>
      <w:r w:rsidRPr="004760F6">
        <w:rPr>
          <w:lang w:eastAsia="zh-CN"/>
        </w:rPr>
        <w:t xml:space="preserve"> – #</w:t>
      </w:r>
      <w:r w:rsidRPr="00BA6C05">
        <w:rPr>
          <w:lang w:eastAsia="zh-CN"/>
        </w:rPr>
        <w:t>4</w:t>
      </w:r>
      <w:r w:rsidR="003A7AE4">
        <w:rPr>
          <w:lang w:eastAsia="zh-CN"/>
        </w:rPr>
        <w:t>6</w:t>
      </w:r>
      <w:r w:rsidRPr="004760F6">
        <w:rPr>
          <w:lang w:eastAsia="zh-CN"/>
        </w:rPr>
        <w:t xml:space="preserve"> of the Lausanne Action Plan</w:t>
      </w:r>
      <w:r w:rsidR="003A7AE4">
        <w:rPr>
          <w:lang w:eastAsia="zh-CN"/>
        </w:rPr>
        <w:t>.</w:t>
      </w:r>
    </w:p>
    <w:p w14:paraId="6C3FF738" w14:textId="1769C351" w:rsidR="008320F2" w:rsidRDefault="008320F2" w:rsidP="008201C5">
      <w:pPr>
        <w:pStyle w:val="ParNoG"/>
        <w:rPr>
          <w:lang w:eastAsia="zh-CN"/>
        </w:rPr>
      </w:pPr>
      <w:bookmarkStart w:id="14" w:name="_Hlk177041479"/>
      <w:bookmarkEnd w:id="13"/>
      <w:proofErr w:type="gramStart"/>
      <w:r w:rsidRPr="008320F2">
        <w:rPr>
          <w:lang w:eastAsia="zh-CN"/>
        </w:rPr>
        <w:t>Also</w:t>
      </w:r>
      <w:proofErr w:type="gramEnd"/>
      <w:r w:rsidRPr="008320F2">
        <w:rPr>
          <w:lang w:eastAsia="zh-CN"/>
        </w:rPr>
        <w:t xml:space="preserve"> in the context of its consideration of the operation and status of the Convention, </w:t>
      </w:r>
      <w:r w:rsidRPr="008320F2">
        <w:rPr>
          <w:lang w:val="en-US" w:eastAsia="zh-CN"/>
        </w:rPr>
        <w:t xml:space="preserve">the Meeting considered the </w:t>
      </w:r>
      <w:r w:rsidR="00B1483B">
        <w:rPr>
          <w:lang w:val="en-US" w:eastAsia="zh-CN"/>
        </w:rPr>
        <w:t xml:space="preserve">issue </w:t>
      </w:r>
      <w:r w:rsidR="004A1904">
        <w:rPr>
          <w:lang w:val="en-US" w:eastAsia="zh-CN"/>
        </w:rPr>
        <w:t xml:space="preserve">of facilitation and clarification of compliance </w:t>
      </w:r>
      <w:r w:rsidR="004D0B0D">
        <w:rPr>
          <w:lang w:val="en-US" w:eastAsia="zh-CN"/>
        </w:rPr>
        <w:t>pursuant</w:t>
      </w:r>
      <w:r w:rsidR="004A1904">
        <w:rPr>
          <w:lang w:val="en-US" w:eastAsia="zh-CN"/>
        </w:rPr>
        <w:t xml:space="preserve"> to article 8 of the </w:t>
      </w:r>
      <w:r w:rsidR="004D0B0D">
        <w:rPr>
          <w:lang w:val="en-US" w:eastAsia="zh-CN"/>
        </w:rPr>
        <w:t>Convention</w:t>
      </w:r>
      <w:r w:rsidR="004A1904">
        <w:rPr>
          <w:lang w:val="en-US" w:eastAsia="zh-CN"/>
        </w:rPr>
        <w:t xml:space="preserve"> </w:t>
      </w:r>
      <w:r w:rsidR="004D0B0D">
        <w:rPr>
          <w:lang w:eastAsia="zh-CN"/>
        </w:rPr>
        <w:t>and t</w:t>
      </w:r>
      <w:r w:rsidR="004D0B0D" w:rsidRPr="004D0B0D">
        <w:rPr>
          <w:lang w:eastAsia="zh-CN"/>
        </w:rPr>
        <w:t xml:space="preserve">he commitments </w:t>
      </w:r>
      <w:r w:rsidR="004D0B0D">
        <w:rPr>
          <w:lang w:eastAsia="zh-CN"/>
        </w:rPr>
        <w:t xml:space="preserve">undertaken in </w:t>
      </w:r>
      <w:r w:rsidR="004D0B0D" w:rsidRPr="004D0B0D">
        <w:rPr>
          <w:lang w:eastAsia="zh-CN"/>
        </w:rPr>
        <w:t>actions #4</w:t>
      </w:r>
      <w:r w:rsidR="00CE765C">
        <w:rPr>
          <w:lang w:eastAsia="zh-CN"/>
        </w:rPr>
        <w:t>9</w:t>
      </w:r>
      <w:r w:rsidR="004D0B0D" w:rsidRPr="004D0B0D">
        <w:rPr>
          <w:lang w:eastAsia="zh-CN"/>
        </w:rPr>
        <w:t xml:space="preserve"> – #</w:t>
      </w:r>
      <w:r w:rsidR="00CE765C">
        <w:rPr>
          <w:lang w:eastAsia="zh-CN"/>
        </w:rPr>
        <w:t>50</w:t>
      </w:r>
      <w:r w:rsidR="004D0B0D" w:rsidRPr="004D0B0D">
        <w:rPr>
          <w:lang w:eastAsia="zh-CN"/>
        </w:rPr>
        <w:t xml:space="preserve"> of the Lausanne Action Plan</w:t>
      </w:r>
      <w:r w:rsidRPr="008320F2">
        <w:rPr>
          <w:lang w:eastAsia="zh-CN"/>
        </w:rPr>
        <w:t xml:space="preserve">. </w:t>
      </w:r>
    </w:p>
    <w:bookmarkEnd w:id="14"/>
    <w:p w14:paraId="7249595D" w14:textId="56F3192F" w:rsidR="00E8715E" w:rsidRPr="00E8715E" w:rsidRDefault="00D818C6" w:rsidP="008201C5">
      <w:pPr>
        <w:pStyle w:val="ParNoG"/>
        <w:rPr>
          <w:lang w:eastAsia="zh-CN"/>
        </w:rPr>
      </w:pPr>
      <w:proofErr w:type="gramStart"/>
      <w:r w:rsidRPr="00D818C6">
        <w:rPr>
          <w:lang w:eastAsia="zh-CN"/>
        </w:rPr>
        <w:t>Also</w:t>
      </w:r>
      <w:proofErr w:type="gramEnd"/>
      <w:r w:rsidRPr="00D818C6">
        <w:rPr>
          <w:lang w:eastAsia="zh-CN"/>
        </w:rPr>
        <w:t xml:space="preserve"> in the context of its consideration of the operation and status of the Convention, </w:t>
      </w:r>
      <w:r w:rsidRPr="00D818C6">
        <w:rPr>
          <w:lang w:val="en-US" w:eastAsia="zh-CN"/>
        </w:rPr>
        <w:t xml:space="preserve">the Meeting considered </w:t>
      </w:r>
      <w:r w:rsidR="00DC0FDC">
        <w:rPr>
          <w:lang w:val="en-US" w:eastAsia="zh-CN"/>
        </w:rPr>
        <w:t xml:space="preserve">national implementation in accordance with </w:t>
      </w:r>
      <w:r w:rsidRPr="00D818C6">
        <w:rPr>
          <w:lang w:val="en-US" w:eastAsia="zh-CN"/>
        </w:rPr>
        <w:t>article</w:t>
      </w:r>
      <w:r w:rsidR="0095124C">
        <w:rPr>
          <w:lang w:val="en-US" w:eastAsia="zh-CN"/>
        </w:rPr>
        <w:t xml:space="preserve"> 9</w:t>
      </w:r>
      <w:r w:rsidRPr="00D818C6">
        <w:rPr>
          <w:lang w:val="en-US" w:eastAsia="zh-CN"/>
        </w:rPr>
        <w:t xml:space="preserve"> of the Convention</w:t>
      </w:r>
      <w:r w:rsidRPr="00D818C6">
        <w:rPr>
          <w:lang w:eastAsia="zh-CN"/>
        </w:rPr>
        <w:t xml:space="preserve">. In particular, </w:t>
      </w:r>
      <w:r w:rsidR="0095124C">
        <w:rPr>
          <w:lang w:eastAsia="zh-CN"/>
        </w:rPr>
        <w:t>Iraq</w:t>
      </w:r>
      <w:r w:rsidRPr="00D818C6">
        <w:rPr>
          <w:lang w:eastAsia="zh-CN"/>
        </w:rPr>
        <w:t xml:space="preserve">, in its capacity as the Coordinators of the </w:t>
      </w:r>
      <w:r w:rsidR="001F2267" w:rsidRPr="001F2267">
        <w:rPr>
          <w:lang w:eastAsia="zh-CN"/>
        </w:rPr>
        <w:t>National Implementation Measures</w:t>
      </w:r>
      <w:r w:rsidRPr="00D818C6">
        <w:rPr>
          <w:lang w:eastAsia="zh-CN"/>
        </w:rPr>
        <w:t>, reported on the activities undertaken in the implementation of the commitments under art</w:t>
      </w:r>
      <w:r w:rsidR="009E361A">
        <w:rPr>
          <w:lang w:eastAsia="zh-CN"/>
        </w:rPr>
        <w:t>icle 9</w:t>
      </w:r>
      <w:r w:rsidRPr="00D818C6">
        <w:rPr>
          <w:lang w:eastAsia="zh-CN"/>
        </w:rPr>
        <w:t xml:space="preserve"> of the Convention and actions #4</w:t>
      </w:r>
      <w:r w:rsidR="00806493">
        <w:rPr>
          <w:lang w:eastAsia="zh-CN"/>
        </w:rPr>
        <w:t>7</w:t>
      </w:r>
      <w:r w:rsidRPr="00D818C6">
        <w:rPr>
          <w:lang w:eastAsia="zh-CN"/>
        </w:rPr>
        <w:t xml:space="preserve"> – #4</w:t>
      </w:r>
      <w:r w:rsidR="00806493">
        <w:rPr>
          <w:lang w:eastAsia="zh-CN"/>
        </w:rPr>
        <w:t>8</w:t>
      </w:r>
      <w:r w:rsidRPr="00D818C6">
        <w:rPr>
          <w:lang w:eastAsia="zh-CN"/>
        </w:rPr>
        <w:t xml:space="preserve"> of the Lausanne Action Plan.</w:t>
      </w:r>
      <w:r w:rsidR="00E8715E" w:rsidRPr="00E8715E">
        <w:rPr>
          <w:lang w:eastAsia="zh-CN"/>
        </w:rPr>
        <w:t xml:space="preserve"> Updates on </w:t>
      </w:r>
      <w:r w:rsidR="00E8715E">
        <w:rPr>
          <w:lang w:eastAsia="zh-CN"/>
        </w:rPr>
        <w:t xml:space="preserve">measures, undertaken at national level, including </w:t>
      </w:r>
      <w:r w:rsidR="00161A12">
        <w:rPr>
          <w:lang w:eastAsia="zh-CN"/>
        </w:rPr>
        <w:t>adoption of national legislation</w:t>
      </w:r>
      <w:r w:rsidR="00E06BDE">
        <w:rPr>
          <w:lang w:eastAsia="zh-CN"/>
        </w:rPr>
        <w:t xml:space="preserve">, </w:t>
      </w:r>
      <w:r w:rsidR="00690C85">
        <w:rPr>
          <w:lang w:eastAsia="zh-CN"/>
        </w:rPr>
        <w:t>regulations,</w:t>
      </w:r>
      <w:r w:rsidR="00E06BDE">
        <w:rPr>
          <w:lang w:eastAsia="zh-CN"/>
        </w:rPr>
        <w:t xml:space="preserve"> and </w:t>
      </w:r>
      <w:r w:rsidR="0061103A">
        <w:rPr>
          <w:lang w:eastAsia="zh-CN"/>
        </w:rPr>
        <w:t xml:space="preserve">administrative measures </w:t>
      </w:r>
      <w:r w:rsidR="00045ED6">
        <w:rPr>
          <w:lang w:eastAsia="zh-CN"/>
        </w:rPr>
        <w:t xml:space="preserve">to </w:t>
      </w:r>
      <w:r w:rsidR="00986CA4">
        <w:rPr>
          <w:lang w:eastAsia="zh-CN"/>
        </w:rPr>
        <w:t xml:space="preserve">prevent and supress activities </w:t>
      </w:r>
      <w:r w:rsidR="00345F6A">
        <w:rPr>
          <w:lang w:eastAsia="zh-CN"/>
        </w:rPr>
        <w:t xml:space="preserve">prohibited under the Convention </w:t>
      </w:r>
      <w:r w:rsidR="00E8715E" w:rsidRPr="00E8715E">
        <w:rPr>
          <w:lang w:eastAsia="zh-CN"/>
        </w:rPr>
        <w:t>were provided by States Parties, as well as by other interested States and organisations.</w:t>
      </w:r>
    </w:p>
    <w:p w14:paraId="400D713E" w14:textId="2B1A684D" w:rsidR="00496CF7" w:rsidRPr="00496CF7" w:rsidRDefault="7E426A4B" w:rsidP="008201C5">
      <w:pPr>
        <w:pStyle w:val="ParNoG"/>
        <w:rPr>
          <w:lang w:eastAsia="zh-CN"/>
        </w:rPr>
      </w:pPr>
      <w:proofErr w:type="gramStart"/>
      <w:r w:rsidRPr="3E56B61F">
        <w:rPr>
          <w:lang w:eastAsia="zh-CN"/>
        </w:rPr>
        <w:t>Also</w:t>
      </w:r>
      <w:proofErr w:type="gramEnd"/>
      <w:r w:rsidRPr="3E56B61F">
        <w:rPr>
          <w:lang w:eastAsia="zh-CN"/>
        </w:rPr>
        <w:t xml:space="preserve"> in the context of its consideration of the operation and status of the Convention, </w:t>
      </w:r>
      <w:r w:rsidRPr="3E56B61F">
        <w:rPr>
          <w:lang w:val="en-US" w:eastAsia="zh-CN"/>
        </w:rPr>
        <w:t xml:space="preserve">the Meeting considered the </w:t>
      </w:r>
      <w:r w:rsidR="10D4573C" w:rsidRPr="3E56B61F">
        <w:rPr>
          <w:lang w:val="en-US" w:eastAsia="zh-CN"/>
        </w:rPr>
        <w:t xml:space="preserve">issue of </w:t>
      </w:r>
      <w:r w:rsidR="47FBF42E" w:rsidRPr="3E56B61F">
        <w:rPr>
          <w:lang w:val="en-US" w:eastAsia="zh-CN"/>
        </w:rPr>
        <w:t>gender mainstreaming</w:t>
      </w:r>
      <w:r w:rsidRPr="3E56B61F">
        <w:rPr>
          <w:lang w:eastAsia="zh-CN"/>
        </w:rPr>
        <w:t xml:space="preserve">. In particular, </w:t>
      </w:r>
      <w:r w:rsidR="4DD7BDC2" w:rsidRPr="3E56B61F">
        <w:rPr>
          <w:lang w:eastAsia="zh-CN"/>
        </w:rPr>
        <w:t xml:space="preserve">Belgium and Germany, </w:t>
      </w:r>
      <w:r w:rsidRPr="3E56B61F">
        <w:rPr>
          <w:lang w:eastAsia="zh-CN"/>
        </w:rPr>
        <w:t>in their capacity as the Coordinators of the Working Group</w:t>
      </w:r>
      <w:r w:rsidR="72467DBC" w:rsidRPr="00E31992">
        <w:t xml:space="preserve"> </w:t>
      </w:r>
      <w:r w:rsidR="72467DBC" w:rsidRPr="3E56B61F">
        <w:rPr>
          <w:lang w:eastAsia="zh-CN"/>
        </w:rPr>
        <w:t xml:space="preserve">on the general status and operation of the Convention and focal points </w:t>
      </w:r>
      <w:r w:rsidR="44D947A6" w:rsidRPr="3E56B61F">
        <w:rPr>
          <w:lang w:eastAsia="zh-CN"/>
        </w:rPr>
        <w:t>on gender mainstreaming in the implementation of the Lausanne Action Plan</w:t>
      </w:r>
      <w:r w:rsidRPr="3E56B61F">
        <w:rPr>
          <w:lang w:eastAsia="zh-CN"/>
        </w:rPr>
        <w:t xml:space="preserve">, reported on the activities undertaken in </w:t>
      </w:r>
      <w:r w:rsidR="0CC70405" w:rsidRPr="3E56B61F">
        <w:rPr>
          <w:lang w:eastAsia="zh-CN"/>
        </w:rPr>
        <w:t xml:space="preserve">cooperation with the other thematic </w:t>
      </w:r>
      <w:r w:rsidR="18FE056E" w:rsidRPr="3E56B61F">
        <w:rPr>
          <w:lang w:eastAsia="zh-CN"/>
        </w:rPr>
        <w:t xml:space="preserve">coordinators. </w:t>
      </w:r>
      <w:r w:rsidRPr="3E56B61F">
        <w:rPr>
          <w:lang w:eastAsia="zh-CN"/>
        </w:rPr>
        <w:t xml:space="preserve">The Meeting also considered a working paper </w:t>
      </w:r>
      <w:r w:rsidR="7502B227" w:rsidRPr="3E56B61F">
        <w:rPr>
          <w:lang w:eastAsia="zh-CN"/>
        </w:rPr>
        <w:t xml:space="preserve">titled </w:t>
      </w:r>
      <w:r w:rsidRPr="3E56B61F">
        <w:rPr>
          <w:lang w:val="en-US" w:eastAsia="zh-CN"/>
        </w:rPr>
        <w:t>“</w:t>
      </w:r>
      <w:r w:rsidR="7502B227" w:rsidRPr="3E56B61F">
        <w:rPr>
          <w:lang w:eastAsia="zh-CN"/>
        </w:rPr>
        <w:t>Taking stock of gender, diversity and inclusion in the Convention on Cluster Munitions: A mid-point review of the implementation of the Lausanne Action Plan</w:t>
      </w:r>
      <w:r w:rsidRPr="3E56B61F">
        <w:rPr>
          <w:lang w:eastAsia="zh-CN"/>
        </w:rPr>
        <w:t>”</w:t>
      </w:r>
      <w:r w:rsidRPr="3E56B61F">
        <w:rPr>
          <w:lang w:val="en-US" w:eastAsia="zh-CN"/>
        </w:rPr>
        <w:t xml:space="preserve">, </w:t>
      </w:r>
      <w:r w:rsidR="7B7924C3" w:rsidRPr="3E56B61F">
        <w:rPr>
          <w:lang w:val="en-US" w:eastAsia="zh-CN"/>
        </w:rPr>
        <w:t>submitted by the Coordinators and a group of States and organizations</w:t>
      </w:r>
      <w:r w:rsidR="005A15C7">
        <w:rPr>
          <w:rStyle w:val="FootnoteReference"/>
          <w:rFonts w:eastAsia="Calibri" w:cstheme="majorBidi"/>
          <w:lang w:eastAsia="zh-CN"/>
        </w:rPr>
        <w:footnoteReference w:id="7"/>
      </w:r>
      <w:r w:rsidR="7B7924C3" w:rsidRPr="3E56B61F">
        <w:rPr>
          <w:lang w:val="en-US" w:eastAsia="zh-CN"/>
        </w:rPr>
        <w:t xml:space="preserve"> </w:t>
      </w:r>
      <w:r w:rsidRPr="3E56B61F">
        <w:rPr>
          <w:lang w:val="en-US" w:eastAsia="zh-CN"/>
        </w:rPr>
        <w:t>as contained in document CCM/MSP/2024/WP.</w:t>
      </w:r>
      <w:r w:rsidR="7502B227" w:rsidRPr="3E56B61F">
        <w:rPr>
          <w:lang w:val="en-US" w:eastAsia="zh-CN"/>
        </w:rPr>
        <w:t>2</w:t>
      </w:r>
      <w:r w:rsidRPr="3E56B61F">
        <w:rPr>
          <w:lang w:val="en-US" w:eastAsia="zh-CN"/>
        </w:rPr>
        <w:t xml:space="preserve">. </w:t>
      </w:r>
      <w:r w:rsidRPr="3E56B61F">
        <w:rPr>
          <w:lang w:eastAsia="zh-CN"/>
        </w:rPr>
        <w:t xml:space="preserve">Updates on the efforts </w:t>
      </w:r>
      <w:r w:rsidR="1FBBD9FE" w:rsidRPr="3E56B61F">
        <w:rPr>
          <w:lang w:eastAsia="zh-CN"/>
        </w:rPr>
        <w:t>aim</w:t>
      </w:r>
      <w:r w:rsidR="06413CA3" w:rsidRPr="3E56B61F">
        <w:rPr>
          <w:lang w:eastAsia="zh-CN"/>
        </w:rPr>
        <w:t xml:space="preserve">ed at ensuring that </w:t>
      </w:r>
      <w:r w:rsidR="4F77D96B" w:rsidRPr="3E56B61F">
        <w:rPr>
          <w:lang w:eastAsia="zh-CN"/>
        </w:rPr>
        <w:t>matters related to gender and the diverse needs and experiences of people in affected communities are taken into account in the implementation of the Lausanne Action Plan</w:t>
      </w:r>
      <w:r w:rsidRPr="3E56B61F">
        <w:rPr>
          <w:lang w:eastAsia="zh-CN"/>
        </w:rPr>
        <w:t xml:space="preserve"> were provided by States Parties, as well as by other interested States and organisations.</w:t>
      </w:r>
    </w:p>
    <w:p w14:paraId="3201AA6E" w14:textId="17AB1B5B" w:rsidR="001E6D67" w:rsidRPr="00537C97" w:rsidRDefault="20031797" w:rsidP="008201C5">
      <w:pPr>
        <w:pStyle w:val="ParNoG"/>
        <w:rPr>
          <w:lang w:val="en-US" w:eastAsia="zh-CN"/>
        </w:rPr>
      </w:pPr>
      <w:proofErr w:type="gramStart"/>
      <w:r w:rsidRPr="3E56B61F">
        <w:rPr>
          <w:lang w:eastAsia="zh-CN"/>
        </w:rPr>
        <w:t>Also</w:t>
      </w:r>
      <w:proofErr w:type="gramEnd"/>
      <w:r w:rsidRPr="3E56B61F">
        <w:rPr>
          <w:lang w:eastAsia="zh-CN"/>
        </w:rPr>
        <w:t xml:space="preserve"> in the context of its consideration of the operation and status of the Convention, </w:t>
      </w:r>
      <w:r w:rsidRPr="3E56B61F">
        <w:rPr>
          <w:lang w:val="en-US" w:eastAsia="zh-CN"/>
        </w:rPr>
        <w:t xml:space="preserve">the Meeting considered </w:t>
      </w:r>
      <w:r w:rsidR="61EFE14C" w:rsidRPr="3E56B61F">
        <w:rPr>
          <w:lang w:val="en-US" w:eastAsia="zh-CN"/>
        </w:rPr>
        <w:t>implementation support</w:t>
      </w:r>
      <w:r w:rsidR="35DCEF65" w:rsidRPr="3E56B61F">
        <w:rPr>
          <w:lang w:val="en-US" w:eastAsia="zh-CN"/>
        </w:rPr>
        <w:t>.</w:t>
      </w:r>
      <w:r w:rsidR="77572511" w:rsidRPr="3E56B61F">
        <w:rPr>
          <w:lang w:val="en-US" w:eastAsia="zh-CN"/>
        </w:rPr>
        <w:t xml:space="preserve"> </w:t>
      </w:r>
      <w:r w:rsidR="77572511" w:rsidRPr="3E56B61F">
        <w:rPr>
          <w:lang w:eastAsia="zh-CN"/>
        </w:rPr>
        <w:t>In particular,</w:t>
      </w:r>
      <w:r w:rsidR="7679C234" w:rsidRPr="3E56B61F">
        <w:rPr>
          <w:lang w:eastAsia="zh-CN"/>
        </w:rPr>
        <w:t xml:space="preserve"> </w:t>
      </w:r>
      <w:r w:rsidR="6D8767DF" w:rsidRPr="3E56B61F">
        <w:rPr>
          <w:lang w:val="en-US" w:eastAsia="zh-CN"/>
        </w:rPr>
        <w:t xml:space="preserve">Pamela Moraga, </w:t>
      </w:r>
      <w:r w:rsidR="0B3E7733" w:rsidRPr="3E56B61F">
        <w:rPr>
          <w:lang w:eastAsia="zh-CN"/>
        </w:rPr>
        <w:t>Director of the Implementation Support Unit</w:t>
      </w:r>
      <w:r w:rsidR="6D8767DF" w:rsidRPr="3E56B61F">
        <w:rPr>
          <w:lang w:eastAsia="zh-CN"/>
        </w:rPr>
        <w:t>,</w:t>
      </w:r>
      <w:r w:rsidR="0B3E7733" w:rsidRPr="3E56B61F">
        <w:rPr>
          <w:lang w:eastAsia="zh-CN"/>
        </w:rPr>
        <w:t xml:space="preserve"> </w:t>
      </w:r>
      <w:r w:rsidR="77572511" w:rsidRPr="3E56B61F">
        <w:rPr>
          <w:lang w:eastAsia="zh-CN"/>
        </w:rPr>
        <w:t xml:space="preserve">reported on the activities undertaken </w:t>
      </w:r>
      <w:r w:rsidR="7626CFCE" w:rsidRPr="3E56B61F">
        <w:rPr>
          <w:lang w:eastAsia="zh-CN"/>
        </w:rPr>
        <w:t>to support the President, office holders, a</w:t>
      </w:r>
      <w:r w:rsidR="5794D4DA" w:rsidRPr="3E56B61F">
        <w:rPr>
          <w:lang w:eastAsia="zh-CN"/>
        </w:rPr>
        <w:t>nd</w:t>
      </w:r>
      <w:r w:rsidR="7626CFCE" w:rsidRPr="3E56B61F">
        <w:rPr>
          <w:lang w:eastAsia="zh-CN"/>
        </w:rPr>
        <w:t xml:space="preserve"> States </w:t>
      </w:r>
      <w:r w:rsidR="008777F7">
        <w:rPr>
          <w:lang w:eastAsia="zh-CN"/>
        </w:rPr>
        <w:t xml:space="preserve">parties </w:t>
      </w:r>
      <w:r w:rsidR="7626CFCE" w:rsidRPr="3E56B61F">
        <w:rPr>
          <w:lang w:eastAsia="zh-CN"/>
        </w:rPr>
        <w:t xml:space="preserve">in implementing the mandate </w:t>
      </w:r>
      <w:r w:rsidR="60A36344" w:rsidRPr="3E56B61F">
        <w:rPr>
          <w:lang w:eastAsia="zh-CN"/>
        </w:rPr>
        <w:t>of the ISU</w:t>
      </w:r>
      <w:r w:rsidR="4A402934" w:rsidRPr="3E56B61F">
        <w:rPr>
          <w:lang w:eastAsia="zh-CN"/>
        </w:rPr>
        <w:t>, and submitted</w:t>
      </w:r>
      <w:r w:rsidR="4A402934" w:rsidRPr="3E56B61F">
        <w:rPr>
          <w:rFonts w:eastAsia="Times New Roman" w:cs="Times New Roman"/>
          <w:lang w:eastAsia="zh-CN"/>
        </w:rPr>
        <w:t xml:space="preserve"> </w:t>
      </w:r>
      <w:r w:rsidR="0E2C79C8" w:rsidRPr="3E56B61F">
        <w:rPr>
          <w:rFonts w:eastAsia="Times New Roman" w:cs="Times New Roman"/>
          <w:lang w:eastAsia="zh-CN"/>
        </w:rPr>
        <w:t>“</w:t>
      </w:r>
      <w:r w:rsidR="2FD5939E" w:rsidRPr="3E56B61F">
        <w:rPr>
          <w:rFonts w:eastAsia="Times New Roman" w:cs="Times New Roman"/>
        </w:rPr>
        <w:t xml:space="preserve">Convention on Cluster Munitions Implementation Support Unit – 2023 Annual </w:t>
      </w:r>
      <w:r w:rsidR="2FD5939E" w:rsidRPr="3E56B61F">
        <w:rPr>
          <w:rFonts w:eastAsia="Times New Roman" w:cs="Times New Roman"/>
        </w:rPr>
        <w:lastRenderedPageBreak/>
        <w:t>Report</w:t>
      </w:r>
      <w:r w:rsidR="505A8B75" w:rsidRPr="3E56B61F">
        <w:rPr>
          <w:rFonts w:eastAsia="Times New Roman" w:cs="Times New Roman"/>
        </w:rPr>
        <w:t xml:space="preserve">”, as contained in </w:t>
      </w:r>
      <w:r w:rsidR="049B5F4C" w:rsidRPr="3E56B61F">
        <w:rPr>
          <w:rFonts w:eastAsia="Times New Roman" w:cs="Times New Roman"/>
        </w:rPr>
        <w:t xml:space="preserve">document </w:t>
      </w:r>
      <w:r w:rsidR="505A8B75" w:rsidRPr="3E56B61F">
        <w:rPr>
          <w:rFonts w:eastAsia="Times New Roman" w:cs="Times New Roman"/>
        </w:rPr>
        <w:t>CCM/MSP/2024/10</w:t>
      </w:r>
      <w:r w:rsidR="77572511" w:rsidRPr="3E56B61F">
        <w:rPr>
          <w:lang w:eastAsia="zh-CN"/>
        </w:rPr>
        <w:t xml:space="preserve">. The Meeting also </w:t>
      </w:r>
      <w:r w:rsidR="60A36344" w:rsidRPr="3E56B61F">
        <w:rPr>
          <w:lang w:eastAsia="zh-CN"/>
        </w:rPr>
        <w:t xml:space="preserve">considered the </w:t>
      </w:r>
      <w:r w:rsidR="3746DE2A" w:rsidRPr="3E56B61F">
        <w:rPr>
          <w:lang w:eastAsia="zh-CN"/>
        </w:rPr>
        <w:t>“</w:t>
      </w:r>
      <w:r w:rsidR="60A36344" w:rsidRPr="3E56B61F">
        <w:rPr>
          <w:lang w:val="en-US" w:eastAsia="zh-CN"/>
        </w:rPr>
        <w:t>Implementation Support Unit 2025 Work Plan and Budget</w:t>
      </w:r>
      <w:r w:rsidR="311FBF66" w:rsidRPr="3E56B61F">
        <w:rPr>
          <w:lang w:val="en-US" w:eastAsia="zh-CN"/>
        </w:rPr>
        <w:t>”</w:t>
      </w:r>
      <w:r w:rsidR="60A36344" w:rsidRPr="3E56B61F">
        <w:rPr>
          <w:lang w:val="en-US" w:eastAsia="zh-CN"/>
        </w:rPr>
        <w:t>, submitted by the Director of the ISU</w:t>
      </w:r>
      <w:r w:rsidR="311FBF66" w:rsidRPr="3E56B61F">
        <w:rPr>
          <w:lang w:val="en-US" w:eastAsia="zh-CN"/>
        </w:rPr>
        <w:t xml:space="preserve">, </w:t>
      </w:r>
      <w:r w:rsidR="77572511" w:rsidRPr="3E56B61F">
        <w:rPr>
          <w:lang w:val="en-US" w:eastAsia="zh-CN"/>
        </w:rPr>
        <w:t>as contained in document CCM/MSP/2024/</w:t>
      </w:r>
      <w:r w:rsidR="311FBF66" w:rsidRPr="3E56B61F">
        <w:rPr>
          <w:lang w:val="en-US" w:eastAsia="zh-CN"/>
        </w:rPr>
        <w:t>3</w:t>
      </w:r>
      <w:r w:rsidR="77572511" w:rsidRPr="3E56B61F">
        <w:rPr>
          <w:lang w:val="en-US" w:eastAsia="zh-CN"/>
        </w:rPr>
        <w:t xml:space="preserve">. </w:t>
      </w:r>
    </w:p>
    <w:p w14:paraId="1CAE9467" w14:textId="1819BFBD" w:rsidR="0026156A" w:rsidRPr="0026156A" w:rsidRDefault="0026156A" w:rsidP="008201C5">
      <w:pPr>
        <w:pStyle w:val="ParNoG"/>
        <w:rPr>
          <w:lang w:eastAsia="zh-CN"/>
        </w:rPr>
      </w:pPr>
      <w:r>
        <w:rPr>
          <w:lang w:val="en-US" w:eastAsia="zh-CN"/>
        </w:rPr>
        <w:t xml:space="preserve">In </w:t>
      </w:r>
      <w:r w:rsidRPr="0026156A">
        <w:rPr>
          <w:lang w:eastAsia="zh-CN"/>
        </w:rPr>
        <w:t>consider</w:t>
      </w:r>
      <w:r>
        <w:rPr>
          <w:lang w:eastAsia="zh-CN"/>
        </w:rPr>
        <w:t xml:space="preserve">ing </w:t>
      </w:r>
      <w:r w:rsidR="00B85FC2">
        <w:rPr>
          <w:lang w:eastAsia="zh-CN"/>
        </w:rPr>
        <w:t xml:space="preserve">the </w:t>
      </w:r>
      <w:r w:rsidR="00C476D0">
        <w:rPr>
          <w:lang w:eastAsia="zh-CN"/>
        </w:rPr>
        <w:t xml:space="preserve">financial </w:t>
      </w:r>
      <w:r w:rsidR="00B85FC2">
        <w:rPr>
          <w:lang w:eastAsia="zh-CN"/>
        </w:rPr>
        <w:t>status of the Convention</w:t>
      </w:r>
      <w:r w:rsidRPr="0026156A">
        <w:rPr>
          <w:lang w:eastAsia="zh-CN"/>
        </w:rPr>
        <w:t xml:space="preserve">, the Meeting </w:t>
      </w:r>
      <w:r w:rsidR="00B85FC2">
        <w:rPr>
          <w:lang w:eastAsia="zh-CN"/>
        </w:rPr>
        <w:t>considered</w:t>
      </w:r>
      <w:r w:rsidRPr="0026156A">
        <w:rPr>
          <w:lang w:eastAsia="zh-CN"/>
        </w:rPr>
        <w:t xml:space="preserve"> the status of the assessed contributions to the Meetings of States Parties to the Convention by States Parties and States not party participating in the meetings pursuant to Article 14 of the Convention and the budget deficit resulting from outstanding unpaid balances, as well as measures to ensure sustainable financing for the meetings. </w:t>
      </w:r>
    </w:p>
    <w:p w14:paraId="6D3EBB4F" w14:textId="77777777" w:rsidR="00775674" w:rsidRPr="00775674" w:rsidRDefault="00775674" w:rsidP="00682C6C">
      <w:pPr>
        <w:pStyle w:val="HChG"/>
        <w:rPr>
          <w:lang w:val="en-US" w:eastAsia="zh-CN"/>
        </w:rPr>
      </w:pPr>
      <w:r w:rsidRPr="00775674">
        <w:rPr>
          <w:lang w:val="en-US" w:eastAsia="zh-CN"/>
        </w:rPr>
        <w:tab/>
        <w:t>IV.</w:t>
      </w:r>
      <w:r w:rsidRPr="00775674">
        <w:rPr>
          <w:lang w:val="en-US" w:eastAsia="zh-CN"/>
        </w:rPr>
        <w:tab/>
        <w:t xml:space="preserve">Decisions and recommendations </w:t>
      </w:r>
    </w:p>
    <w:p w14:paraId="6CBEF628" w14:textId="60E3E7B0" w:rsidR="001E242F" w:rsidRPr="001E242F" w:rsidRDefault="001E242F" w:rsidP="008201C5">
      <w:pPr>
        <w:pStyle w:val="ParNoG"/>
        <w:rPr>
          <w:lang w:val="en-US" w:eastAsia="zh-CN"/>
        </w:rPr>
      </w:pPr>
      <w:r w:rsidRPr="001E242F">
        <w:rPr>
          <w:lang w:val="en-US" w:eastAsia="zh-CN"/>
        </w:rPr>
        <w:t>The Meeting thanked Iraq</w:t>
      </w:r>
      <w:r>
        <w:rPr>
          <w:lang w:val="en-US" w:eastAsia="zh-CN"/>
        </w:rPr>
        <w:t xml:space="preserve">, </w:t>
      </w:r>
      <w:r w:rsidR="00100475">
        <w:rPr>
          <w:lang w:val="en-US" w:eastAsia="zh-CN"/>
        </w:rPr>
        <w:t>the president of the Eleventh Meeting of States Parties,</w:t>
      </w:r>
      <w:r w:rsidRPr="001E242F">
        <w:rPr>
          <w:lang w:val="en-US" w:eastAsia="zh-CN"/>
        </w:rPr>
        <w:t xml:space="preserve"> for its efforts that led to the adoption of General Assembly resolution </w:t>
      </w:r>
      <w:hyperlink r:id="rId12" w:history="1">
        <w:r w:rsidR="00100475" w:rsidRPr="00100475">
          <w:rPr>
            <w:rStyle w:val="Hyperlink"/>
            <w:rFonts w:asciiTheme="majorBidi" w:eastAsia="Calibri" w:hAnsiTheme="majorBidi" w:cstheme="majorBidi"/>
            <w:lang w:val="en-US" w:eastAsia="zh-CN"/>
          </w:rPr>
          <w:t>78/32</w:t>
        </w:r>
      </w:hyperlink>
      <w:r w:rsidR="00100475">
        <w:rPr>
          <w:lang w:val="en-US" w:eastAsia="zh-CN"/>
        </w:rPr>
        <w:t xml:space="preserve"> </w:t>
      </w:r>
      <w:r w:rsidRPr="001E242F">
        <w:rPr>
          <w:lang w:val="en-US" w:eastAsia="zh-CN"/>
        </w:rPr>
        <w:t>titled “Implementation of the Convention on Cluster Munitions”.</w:t>
      </w:r>
    </w:p>
    <w:p w14:paraId="69D9E236" w14:textId="1BF6CA54" w:rsidR="00E77727" w:rsidRDefault="00693144" w:rsidP="008201C5">
      <w:pPr>
        <w:pStyle w:val="ParNoG"/>
        <w:rPr>
          <w:lang w:val="en-US" w:eastAsia="zh-CN"/>
        </w:rPr>
      </w:pPr>
      <w:r w:rsidRPr="00693144">
        <w:rPr>
          <w:lang w:eastAsia="zh-CN"/>
        </w:rPr>
        <w:t>The Meeting reaffirmed the</w:t>
      </w:r>
      <w:r w:rsidR="00EF65F0">
        <w:rPr>
          <w:lang w:eastAsia="zh-CN"/>
        </w:rPr>
        <w:t xml:space="preserve"> </w:t>
      </w:r>
      <w:r w:rsidR="00B12EDE">
        <w:rPr>
          <w:lang w:eastAsia="zh-CN"/>
        </w:rPr>
        <w:t>determination</w:t>
      </w:r>
      <w:r w:rsidR="003622AB" w:rsidRPr="00693144">
        <w:rPr>
          <w:lang w:eastAsia="zh-CN"/>
        </w:rPr>
        <w:t xml:space="preserve"> </w:t>
      </w:r>
      <w:r w:rsidRPr="00693144">
        <w:rPr>
          <w:lang w:eastAsia="zh-CN"/>
        </w:rPr>
        <w:t xml:space="preserve">of the States Parties to the Convention to put an end to the </w:t>
      </w:r>
      <w:r w:rsidR="00B90C26">
        <w:rPr>
          <w:lang w:eastAsia="zh-CN"/>
        </w:rPr>
        <w:t xml:space="preserve">unacceptable harm caused by cluster munitions </w:t>
      </w:r>
      <w:r w:rsidR="00C6051F">
        <w:rPr>
          <w:lang w:eastAsia="zh-CN"/>
        </w:rPr>
        <w:t xml:space="preserve">and </w:t>
      </w:r>
      <w:r w:rsidR="00C6051F" w:rsidRPr="00775674">
        <w:rPr>
          <w:lang w:val="en-US" w:eastAsia="zh-CN"/>
        </w:rPr>
        <w:t>underscored the</w:t>
      </w:r>
      <w:r w:rsidR="001652A6">
        <w:rPr>
          <w:lang w:val="en-US" w:eastAsia="zh-CN"/>
        </w:rPr>
        <w:t>ir</w:t>
      </w:r>
      <w:r w:rsidR="00C6051F" w:rsidRPr="00775674">
        <w:rPr>
          <w:lang w:val="en-US" w:eastAsia="zh-CN"/>
        </w:rPr>
        <w:t xml:space="preserve"> </w:t>
      </w:r>
      <w:r w:rsidR="003622AB">
        <w:rPr>
          <w:lang w:eastAsia="zh-CN"/>
        </w:rPr>
        <w:t>obligation</w:t>
      </w:r>
      <w:r w:rsidR="003622AB" w:rsidRPr="00693144">
        <w:rPr>
          <w:lang w:eastAsia="zh-CN"/>
        </w:rPr>
        <w:t xml:space="preserve"> </w:t>
      </w:r>
      <w:r w:rsidR="00C6051F" w:rsidRPr="00775674">
        <w:rPr>
          <w:lang w:val="en-US" w:eastAsia="zh-CN"/>
        </w:rPr>
        <w:t>never under any circumstances to use, develop, produce, otherwise acquire, stockpile, retain or transfer cluster munitions</w:t>
      </w:r>
      <w:r w:rsidR="001652A6">
        <w:rPr>
          <w:lang w:val="en-US" w:eastAsia="zh-CN"/>
        </w:rPr>
        <w:t>.</w:t>
      </w:r>
      <w:r w:rsidR="00C6051F" w:rsidRPr="00775674">
        <w:rPr>
          <w:lang w:val="en-US" w:eastAsia="zh-CN"/>
        </w:rPr>
        <w:t xml:space="preserve"> </w:t>
      </w:r>
    </w:p>
    <w:p w14:paraId="10C5903D" w14:textId="3929F42C" w:rsidR="00734AFD" w:rsidRPr="00775674" w:rsidRDefault="00BB7B63" w:rsidP="008201C5">
      <w:pPr>
        <w:pStyle w:val="ParNoG"/>
        <w:rPr>
          <w:lang w:val="en-US" w:eastAsia="zh-CN"/>
        </w:rPr>
      </w:pPr>
      <w:r w:rsidRPr="00693144">
        <w:rPr>
          <w:lang w:eastAsia="zh-CN"/>
        </w:rPr>
        <w:t xml:space="preserve">In keeping with the </w:t>
      </w:r>
      <w:r w:rsidRPr="00775674">
        <w:rPr>
          <w:lang w:val="en-US" w:eastAsia="zh-CN"/>
        </w:rPr>
        <w:t>object and provisions of the Convention</w:t>
      </w:r>
      <w:r w:rsidRPr="00693144">
        <w:rPr>
          <w:lang w:eastAsia="zh-CN"/>
        </w:rPr>
        <w:t xml:space="preserve"> </w:t>
      </w:r>
      <w:r>
        <w:rPr>
          <w:lang w:eastAsia="zh-CN"/>
        </w:rPr>
        <w:t xml:space="preserve">and the commitments under the Lausanne </w:t>
      </w:r>
      <w:r w:rsidRPr="00693144">
        <w:rPr>
          <w:lang w:eastAsia="zh-CN"/>
        </w:rPr>
        <w:t xml:space="preserve">Action Plan, the Meeting strongly condemned </w:t>
      </w:r>
      <w:r w:rsidRPr="00775674">
        <w:rPr>
          <w:lang w:val="en-US" w:eastAsia="zh-CN"/>
        </w:rPr>
        <w:t>any use of cluster munitions</w:t>
      </w:r>
      <w:r w:rsidRPr="00693144">
        <w:rPr>
          <w:lang w:eastAsia="zh-CN"/>
        </w:rPr>
        <w:t xml:space="preserve"> by any actor</w:t>
      </w:r>
      <w:r w:rsidR="001175E8" w:rsidDel="00C45BE2">
        <w:rPr>
          <w:lang w:eastAsia="zh-CN"/>
        </w:rPr>
        <w:t xml:space="preserve"> and under any circumstances</w:t>
      </w:r>
      <w:r w:rsidRPr="00693144">
        <w:rPr>
          <w:lang w:eastAsia="zh-CN"/>
        </w:rPr>
        <w:t>.</w:t>
      </w:r>
      <w:r w:rsidR="00734AFD" w:rsidRPr="00734AFD">
        <w:rPr>
          <w:lang w:val="en-US" w:eastAsia="zh-CN"/>
        </w:rPr>
        <w:t xml:space="preserve"> </w:t>
      </w:r>
      <w:r w:rsidR="00734AFD" w:rsidRPr="00775674">
        <w:rPr>
          <w:lang w:val="en-US" w:eastAsia="zh-CN"/>
        </w:rPr>
        <w:t xml:space="preserve">In this </w:t>
      </w:r>
      <w:r w:rsidR="00734AFD">
        <w:rPr>
          <w:lang w:val="en-US" w:eastAsia="zh-CN"/>
        </w:rPr>
        <w:t xml:space="preserve">respect </w:t>
      </w:r>
      <w:r w:rsidR="00734AFD" w:rsidRPr="00775674">
        <w:rPr>
          <w:lang w:val="en-US" w:eastAsia="zh-CN"/>
        </w:rPr>
        <w:t xml:space="preserve">the Meeting expressed its grave concern at the significant </w:t>
      </w:r>
      <w:r w:rsidR="00734AFD">
        <w:rPr>
          <w:lang w:val="en-US" w:eastAsia="zh-CN"/>
        </w:rPr>
        <w:t>number of</w:t>
      </w:r>
      <w:r w:rsidR="00734AFD" w:rsidRPr="00775674">
        <w:rPr>
          <w:lang w:val="en-US" w:eastAsia="zh-CN"/>
        </w:rPr>
        <w:t xml:space="preserve"> civilian casualties resulting from the repeated and well documented use of cluster munitions since the Second </w:t>
      </w:r>
      <w:r w:rsidR="00481AC0" w:rsidRPr="00775674">
        <w:rPr>
          <w:lang w:val="en-US" w:eastAsia="zh-CN"/>
        </w:rPr>
        <w:t xml:space="preserve">Review </w:t>
      </w:r>
      <w:r w:rsidR="00734AFD" w:rsidRPr="00775674">
        <w:rPr>
          <w:lang w:val="en-US" w:eastAsia="zh-CN"/>
        </w:rPr>
        <w:t xml:space="preserve">Conference. </w:t>
      </w:r>
    </w:p>
    <w:p w14:paraId="7FE3EAB9" w14:textId="19F64654" w:rsidR="00BC1CF7" w:rsidRPr="00521A35" w:rsidRDefault="2640B5F3" w:rsidP="008201C5">
      <w:pPr>
        <w:pStyle w:val="ParNoG"/>
        <w:rPr>
          <w:lang w:eastAsia="zh-CN"/>
        </w:rPr>
      </w:pPr>
      <w:r w:rsidRPr="3E56B61F">
        <w:rPr>
          <w:lang w:eastAsia="zh-CN"/>
        </w:rPr>
        <w:t>Also in the context of its consideration of the operation and status of the Convention, the Meeting noted with concern that no new accessions to the Convention have taken place since the Eleventh Meeting of States Parties and reiterated the importance of undertaking actively and</w:t>
      </w:r>
      <w:r w:rsidR="4B87CC23" w:rsidRPr="3E56B61F">
        <w:rPr>
          <w:lang w:eastAsia="zh-CN"/>
        </w:rPr>
        <w:t>,</w:t>
      </w:r>
      <w:r w:rsidRPr="3E56B61F">
        <w:rPr>
          <w:lang w:eastAsia="zh-CN"/>
        </w:rPr>
        <w:t xml:space="preserve"> as a matter of </w:t>
      </w:r>
      <w:proofErr w:type="gramStart"/>
      <w:r w:rsidRPr="3E56B61F">
        <w:rPr>
          <w:lang w:eastAsia="zh-CN"/>
        </w:rPr>
        <w:t>priority</w:t>
      </w:r>
      <w:r w:rsidR="4B87CC23" w:rsidRPr="3E56B61F">
        <w:rPr>
          <w:lang w:eastAsia="zh-CN"/>
        </w:rPr>
        <w:t>,</w:t>
      </w:r>
      <w:r w:rsidRPr="3E56B61F">
        <w:rPr>
          <w:lang w:eastAsia="zh-CN"/>
        </w:rPr>
        <w:t xml:space="preserve">  concerted</w:t>
      </w:r>
      <w:proofErr w:type="gramEnd"/>
      <w:r w:rsidRPr="3E56B61F">
        <w:rPr>
          <w:lang w:eastAsia="zh-CN"/>
        </w:rPr>
        <w:t xml:space="preserve"> and sustainable actions on universalization to promote adherence in the lead up to the Third Review Conference. </w:t>
      </w:r>
    </w:p>
    <w:p w14:paraId="5C001609" w14:textId="02C88ADD" w:rsidR="00881A73" w:rsidRPr="00521A35" w:rsidRDefault="2640B5F3" w:rsidP="008201C5">
      <w:pPr>
        <w:pStyle w:val="ParNoG"/>
        <w:rPr>
          <w:lang w:eastAsia="zh-CN"/>
        </w:rPr>
      </w:pPr>
      <w:proofErr w:type="gramStart"/>
      <w:r w:rsidRPr="3E56B61F">
        <w:rPr>
          <w:lang w:eastAsia="zh-CN"/>
        </w:rPr>
        <w:t>Also</w:t>
      </w:r>
      <w:proofErr w:type="gramEnd"/>
      <w:r w:rsidRPr="3E56B61F">
        <w:rPr>
          <w:lang w:eastAsia="zh-CN"/>
        </w:rPr>
        <w:t xml:space="preserve"> in the context of its consideration of the operation and status of the Convention, the Meeting deeply </w:t>
      </w:r>
      <w:r w:rsidR="618F4ABC" w:rsidRPr="3E56B61F">
        <w:rPr>
          <w:lang w:eastAsia="zh-CN"/>
        </w:rPr>
        <w:t xml:space="preserve">regretted </w:t>
      </w:r>
      <w:r w:rsidRPr="3E56B61F">
        <w:rPr>
          <w:lang w:eastAsia="zh-CN"/>
        </w:rPr>
        <w:t>Lithuania’s decision</w:t>
      </w:r>
      <w:r w:rsidR="00317EBC" w:rsidRPr="3E56B61F">
        <w:rPr>
          <w:rStyle w:val="FootnoteReference"/>
          <w:rFonts w:eastAsia="Calibri" w:cstheme="majorBidi"/>
          <w:lang w:eastAsia="zh-CN"/>
        </w:rPr>
        <w:footnoteReference w:id="8"/>
      </w:r>
      <w:r w:rsidR="140C3BE9" w:rsidRPr="3E56B61F">
        <w:rPr>
          <w:lang w:eastAsia="zh-CN"/>
        </w:rPr>
        <w:t>, exercising its national sovereignty,</w:t>
      </w:r>
      <w:r w:rsidRPr="3E56B61F">
        <w:rPr>
          <w:lang w:eastAsia="zh-CN"/>
        </w:rPr>
        <w:t xml:space="preserve"> to denounce the Convention pursuant to its article 20. </w:t>
      </w:r>
      <w:r w:rsidR="01921704" w:rsidRPr="3E56B61F">
        <w:rPr>
          <w:lang w:eastAsia="zh-CN"/>
        </w:rPr>
        <w:t>The Meeting emphasized the legal obligation of the States parties to promote universal adherence to and strict observance of the Convention’s norms, including to discourage, in every possible way, the use, development, production, stockpiling and transfer of cluster munitions. The Meeting also emphasized the commitment of the States Parties to condemn the use of cluster munitions.</w:t>
      </w:r>
      <w:r w:rsidR="3798E1B9" w:rsidRPr="3E56B61F">
        <w:rPr>
          <w:lang w:eastAsia="zh-CN"/>
        </w:rPr>
        <w:t xml:space="preserve"> </w:t>
      </w:r>
      <w:r w:rsidRPr="3E56B61F">
        <w:rPr>
          <w:lang w:eastAsia="zh-CN"/>
        </w:rPr>
        <w:t>The Meeting underlined that</w:t>
      </w:r>
      <w:r w:rsidR="31BB0132" w:rsidRPr="3E56B61F">
        <w:rPr>
          <w:lang w:eastAsia="zh-CN"/>
        </w:rPr>
        <w:t xml:space="preserve"> due to their wide area effect and high level of unexploded ordnance</w:t>
      </w:r>
      <w:r w:rsidR="6928B0B5" w:rsidRPr="3E56B61F">
        <w:rPr>
          <w:lang w:eastAsia="zh-CN"/>
        </w:rPr>
        <w:t>,</w:t>
      </w:r>
      <w:r w:rsidRPr="3E56B61F">
        <w:rPr>
          <w:lang w:eastAsia="zh-CN"/>
        </w:rPr>
        <w:t xml:space="preserve"> cluster munitions</w:t>
      </w:r>
      <w:r w:rsidR="6928B0B5" w:rsidRPr="3E56B61F">
        <w:rPr>
          <w:lang w:eastAsia="zh-CN"/>
        </w:rPr>
        <w:t xml:space="preserve"> kill</w:t>
      </w:r>
      <w:r w:rsidR="77384823" w:rsidRPr="3E56B61F">
        <w:rPr>
          <w:lang w:eastAsia="zh-CN"/>
        </w:rPr>
        <w:t xml:space="preserve">, </w:t>
      </w:r>
      <w:r w:rsidR="2643BF1A" w:rsidRPr="3E56B61F">
        <w:rPr>
          <w:lang w:eastAsia="zh-CN"/>
        </w:rPr>
        <w:t xml:space="preserve">injure, </w:t>
      </w:r>
      <w:r w:rsidR="77384823" w:rsidRPr="3E56B61F">
        <w:rPr>
          <w:lang w:eastAsia="zh-CN"/>
        </w:rPr>
        <w:t>and destroy</w:t>
      </w:r>
      <w:r w:rsidR="637A692D" w:rsidRPr="3E56B61F">
        <w:rPr>
          <w:lang w:eastAsia="zh-CN"/>
        </w:rPr>
        <w:t xml:space="preserve"> indiscriminatory</w:t>
      </w:r>
      <w:r w:rsidR="0367F270" w:rsidRPr="3E56B61F">
        <w:rPr>
          <w:lang w:eastAsia="zh-CN"/>
        </w:rPr>
        <w:t xml:space="preserve"> </w:t>
      </w:r>
      <w:r w:rsidR="704F3979" w:rsidRPr="3E56B61F">
        <w:rPr>
          <w:lang w:eastAsia="zh-CN"/>
        </w:rPr>
        <w:t xml:space="preserve">and </w:t>
      </w:r>
      <w:proofErr w:type="gramStart"/>
      <w:r w:rsidR="704F3979" w:rsidRPr="3E56B61F">
        <w:rPr>
          <w:lang w:eastAsia="zh-CN"/>
        </w:rPr>
        <w:t>cause</w:t>
      </w:r>
      <w:r w:rsidR="637A692D" w:rsidRPr="3E56B61F">
        <w:rPr>
          <w:lang w:eastAsia="zh-CN"/>
        </w:rPr>
        <w:t xml:space="preserve"> </w:t>
      </w:r>
      <w:r w:rsidRPr="3E56B61F">
        <w:rPr>
          <w:lang w:eastAsia="zh-CN"/>
        </w:rPr>
        <w:t xml:space="preserve"> unacceptable</w:t>
      </w:r>
      <w:proofErr w:type="gramEnd"/>
      <w:r w:rsidRPr="3E56B61F">
        <w:rPr>
          <w:lang w:eastAsia="zh-CN"/>
        </w:rPr>
        <w:t xml:space="preserve"> harm and severe</w:t>
      </w:r>
      <w:r w:rsidR="15984093" w:rsidRPr="3E56B61F">
        <w:rPr>
          <w:lang w:eastAsia="zh-CN"/>
        </w:rPr>
        <w:t xml:space="preserve"> suffering</w:t>
      </w:r>
      <w:r w:rsidRPr="3E56B61F">
        <w:rPr>
          <w:lang w:eastAsia="zh-CN"/>
        </w:rPr>
        <w:t xml:space="preserve"> to civilians and </w:t>
      </w:r>
      <w:r w:rsidR="2E18D2D7" w:rsidRPr="3E56B61F">
        <w:rPr>
          <w:lang w:eastAsia="zh-CN"/>
        </w:rPr>
        <w:t>that a</w:t>
      </w:r>
      <w:r w:rsidR="1B3F29FB" w:rsidRPr="3E56B61F">
        <w:rPr>
          <w:lang w:eastAsia="zh-CN"/>
        </w:rPr>
        <w:t xml:space="preserve">ny </w:t>
      </w:r>
      <w:r w:rsidR="7D417DD7" w:rsidRPr="3E56B61F">
        <w:rPr>
          <w:lang w:eastAsia="zh-CN"/>
        </w:rPr>
        <w:t>perceived</w:t>
      </w:r>
      <w:r w:rsidR="1B3F29FB" w:rsidRPr="3E56B61F">
        <w:rPr>
          <w:lang w:eastAsia="zh-CN"/>
        </w:rPr>
        <w:t xml:space="preserve"> military utility is </w:t>
      </w:r>
      <w:r w:rsidR="2E18D2D7" w:rsidRPr="3E56B61F">
        <w:rPr>
          <w:lang w:eastAsia="zh-CN"/>
        </w:rPr>
        <w:t>outweighed</w:t>
      </w:r>
      <w:r w:rsidR="1B3F29FB" w:rsidRPr="3E56B61F">
        <w:rPr>
          <w:lang w:eastAsia="zh-CN"/>
        </w:rPr>
        <w:t xml:space="preserve"> by </w:t>
      </w:r>
      <w:r w:rsidR="2E18D2D7" w:rsidRPr="3E56B61F">
        <w:rPr>
          <w:lang w:eastAsia="zh-CN"/>
        </w:rPr>
        <w:t xml:space="preserve">the </w:t>
      </w:r>
      <w:r w:rsidR="1B3F29FB" w:rsidRPr="3E56B61F">
        <w:rPr>
          <w:lang w:eastAsia="zh-CN"/>
        </w:rPr>
        <w:t>humanitarian harm th</w:t>
      </w:r>
      <w:r w:rsidR="2E18D2D7" w:rsidRPr="3E56B61F">
        <w:rPr>
          <w:lang w:eastAsia="zh-CN"/>
        </w:rPr>
        <w:t>ey cause</w:t>
      </w:r>
      <w:r w:rsidR="3C1D3446" w:rsidRPr="3E56B61F">
        <w:rPr>
          <w:lang w:eastAsia="zh-CN"/>
        </w:rPr>
        <w:t>. The Meeting further</w:t>
      </w:r>
      <w:r w:rsidRPr="3E56B61F">
        <w:rPr>
          <w:lang w:eastAsia="zh-CN"/>
        </w:rPr>
        <w:t xml:space="preserve"> noted the importance of putting forth concerted efforts by the States parties and all stakeholders to foster the stigma around the use of cluster munitions, ensure an increase in the membership, and further strengthen the humanitarian norms of the Conventio</w:t>
      </w:r>
      <w:r w:rsidR="1A21DC86" w:rsidRPr="3E56B61F">
        <w:rPr>
          <w:lang w:eastAsia="zh-CN"/>
        </w:rPr>
        <w:t xml:space="preserve">n. </w:t>
      </w:r>
      <w:r w:rsidR="747A8B7C" w:rsidRPr="3E56B61F">
        <w:rPr>
          <w:lang w:eastAsia="zh-CN"/>
        </w:rPr>
        <w:t>The Meeting further</w:t>
      </w:r>
      <w:r w:rsidR="1A21DC86" w:rsidRPr="3E56B61F">
        <w:rPr>
          <w:lang w:eastAsia="zh-CN"/>
        </w:rPr>
        <w:t xml:space="preserve"> </w:t>
      </w:r>
      <w:r w:rsidR="1A21DC86" w:rsidRPr="3E56B61F">
        <w:rPr>
          <w:lang w:val="en-US" w:eastAsia="zh-CN"/>
        </w:rPr>
        <w:t>recalled that the norms established by IHL and enshrined in the CCM function precisely as a guardrail to protect civilians in times of conflict or heightened insecurity.</w:t>
      </w:r>
    </w:p>
    <w:p w14:paraId="65B0BA0F" w14:textId="147170C6" w:rsidR="00BC1CF7" w:rsidRPr="00521A35" w:rsidRDefault="00BC1CF7" w:rsidP="008201C5">
      <w:pPr>
        <w:pStyle w:val="ParNoG"/>
        <w:rPr>
          <w:lang w:eastAsia="zh-CN"/>
        </w:rPr>
      </w:pPr>
      <w:r w:rsidRPr="00521A35">
        <w:rPr>
          <w:lang w:eastAsia="zh-CN"/>
        </w:rPr>
        <w:t>The Meeting urged Lithuania</w:t>
      </w:r>
      <w:r w:rsidR="00B1683F" w:rsidRPr="00521A35">
        <w:rPr>
          <w:lang w:eastAsia="zh-CN"/>
        </w:rPr>
        <w:t>,</w:t>
      </w:r>
      <w:r w:rsidRPr="00521A35">
        <w:rPr>
          <w:lang w:eastAsia="zh-CN"/>
        </w:rPr>
        <w:t xml:space="preserve"> </w:t>
      </w:r>
      <w:r w:rsidR="00F3462B" w:rsidRPr="00521A35">
        <w:rPr>
          <w:lang w:val="en-US" w:eastAsia="zh-CN"/>
        </w:rPr>
        <w:t>a responsible State party to the CCM since 1 September 2011</w:t>
      </w:r>
      <w:r w:rsidR="00407E30" w:rsidRPr="00521A35">
        <w:rPr>
          <w:lang w:val="en-US" w:eastAsia="zh-CN"/>
        </w:rPr>
        <w:t xml:space="preserve">, </w:t>
      </w:r>
      <w:r w:rsidRPr="00521A35">
        <w:rPr>
          <w:lang w:eastAsia="zh-CN"/>
        </w:rPr>
        <w:t>to reconsider its decision to withdraw from the Convention and expressed concern that this first ever case of withdraw</w:t>
      </w:r>
      <w:r w:rsidR="00843B8E">
        <w:rPr>
          <w:lang w:eastAsia="zh-CN"/>
        </w:rPr>
        <w:t>al</w:t>
      </w:r>
      <w:r w:rsidRPr="00521A35">
        <w:rPr>
          <w:lang w:eastAsia="zh-CN"/>
        </w:rPr>
        <w:t xml:space="preserve"> of a State from a multilateral treaty</w:t>
      </w:r>
      <w:r w:rsidR="00D80F12">
        <w:rPr>
          <w:lang w:eastAsia="zh-CN"/>
        </w:rPr>
        <w:t xml:space="preserve"> prohibiting a whole class of weapons</w:t>
      </w:r>
      <w:r w:rsidR="00C05889">
        <w:rPr>
          <w:lang w:eastAsia="zh-CN"/>
        </w:rPr>
        <w:t xml:space="preserve"> </w:t>
      </w:r>
      <w:r w:rsidRPr="00521A35">
        <w:rPr>
          <w:lang w:eastAsia="zh-CN"/>
        </w:rPr>
        <w:t>creates a precedent that will have long-term repercussions for the integrity of the Convention and for the sanctity of international humanitarian law.</w:t>
      </w:r>
      <w:r w:rsidR="005442F8" w:rsidRPr="00521A35">
        <w:rPr>
          <w:lang w:val="en-US" w:eastAsia="zh-CN"/>
        </w:rPr>
        <w:t xml:space="preserve"> The Meeting reiterated the offer of engaging in a constructive dialogue </w:t>
      </w:r>
      <w:r w:rsidR="00DF70D8" w:rsidRPr="00521A35">
        <w:rPr>
          <w:lang w:val="en-US" w:eastAsia="zh-CN"/>
        </w:rPr>
        <w:t xml:space="preserve">with </w:t>
      </w:r>
      <w:r w:rsidR="00DF70D8" w:rsidRPr="00521A35">
        <w:rPr>
          <w:lang w:eastAsia="zh-CN"/>
        </w:rPr>
        <w:t>Lithuania</w:t>
      </w:r>
      <w:r w:rsidR="00DF70D8" w:rsidRPr="00521A35">
        <w:rPr>
          <w:lang w:val="en-US" w:eastAsia="zh-CN"/>
        </w:rPr>
        <w:t xml:space="preserve"> </w:t>
      </w:r>
      <w:r w:rsidR="005442F8" w:rsidRPr="00521A35">
        <w:rPr>
          <w:lang w:val="en-US" w:eastAsia="zh-CN"/>
        </w:rPr>
        <w:t>on this regard.</w:t>
      </w:r>
    </w:p>
    <w:p w14:paraId="458E4127" w14:textId="586810C2" w:rsidR="00E94570" w:rsidRPr="00521A35" w:rsidRDefault="66EE407B" w:rsidP="008201C5">
      <w:pPr>
        <w:pStyle w:val="ParNoG"/>
        <w:rPr>
          <w:lang w:val="en-US" w:eastAsia="zh-CN"/>
        </w:rPr>
      </w:pPr>
      <w:r w:rsidRPr="3E56B61F">
        <w:rPr>
          <w:lang w:eastAsia="zh-CN"/>
        </w:rPr>
        <w:t xml:space="preserve">In the context of its consideration of the operation and status of the Convention, </w:t>
      </w:r>
      <w:r w:rsidRPr="3E56B61F">
        <w:rPr>
          <w:lang w:val="en-US" w:eastAsia="zh-CN"/>
        </w:rPr>
        <w:t xml:space="preserve">the Meeting took stock of the implementation of the Convention and progress made since the </w:t>
      </w:r>
      <w:r w:rsidR="743E11BD" w:rsidRPr="3E56B61F">
        <w:rPr>
          <w:lang w:val="en-US" w:eastAsia="zh-CN"/>
        </w:rPr>
        <w:lastRenderedPageBreak/>
        <w:t>Eleventh</w:t>
      </w:r>
      <w:r w:rsidRPr="3E56B61F">
        <w:rPr>
          <w:lang w:val="en-US" w:eastAsia="zh-CN"/>
        </w:rPr>
        <w:t xml:space="preserve"> Meeting of States Parties and welcomed the Progress </w:t>
      </w:r>
      <w:r w:rsidR="7A88D290" w:rsidRPr="3E56B61F">
        <w:rPr>
          <w:lang w:val="en-US" w:eastAsia="zh-CN"/>
        </w:rPr>
        <w:t>R</w:t>
      </w:r>
      <w:r w:rsidRPr="3E56B61F">
        <w:rPr>
          <w:lang w:val="en-US" w:eastAsia="zh-CN"/>
        </w:rPr>
        <w:t>eport on the implementation of the Lausanne Action Plan, which covers the period 1 July 2023 to 30 June 2024</w:t>
      </w:r>
      <w:r w:rsidR="00EE7618">
        <w:rPr>
          <w:rStyle w:val="FootnoteReference"/>
          <w:rFonts w:eastAsia="Calibri" w:cstheme="majorBidi"/>
          <w:lang w:eastAsia="zh-CN"/>
        </w:rPr>
        <w:footnoteReference w:id="9"/>
      </w:r>
      <w:r w:rsidRPr="3E56B61F">
        <w:rPr>
          <w:lang w:val="en-US" w:eastAsia="zh-CN"/>
        </w:rPr>
        <w:t>.</w:t>
      </w:r>
    </w:p>
    <w:p w14:paraId="0084A90D" w14:textId="69FBEAC9" w:rsidR="002B2F11" w:rsidRPr="00521A35" w:rsidRDefault="00E94570" w:rsidP="008201C5">
      <w:pPr>
        <w:pStyle w:val="ParNoG"/>
        <w:rPr>
          <w:lang w:val="en-US" w:eastAsia="zh-CN"/>
        </w:rPr>
      </w:pPr>
      <w:r w:rsidRPr="00521A35">
        <w:rPr>
          <w:lang w:eastAsia="zh-CN"/>
        </w:rPr>
        <w:t xml:space="preserve">Also in the context of its consideration of the operation and status of the Convention, </w:t>
      </w:r>
      <w:r w:rsidR="00AD650A">
        <w:rPr>
          <w:lang w:val="en-US" w:eastAsia="zh-CN"/>
        </w:rPr>
        <w:t>t</w:t>
      </w:r>
      <w:r w:rsidR="00FC7085" w:rsidRPr="00521A35">
        <w:rPr>
          <w:lang w:val="en-US" w:eastAsia="zh-CN"/>
        </w:rPr>
        <w:t xml:space="preserve">he Meeting </w:t>
      </w:r>
      <w:r w:rsidR="0065616E">
        <w:rPr>
          <w:lang w:val="en-US" w:eastAsia="zh-CN"/>
        </w:rPr>
        <w:t xml:space="preserve">emphasized the importance of </w:t>
      </w:r>
      <w:r w:rsidR="00954C83">
        <w:rPr>
          <w:lang w:val="en-US" w:eastAsia="zh-CN"/>
        </w:rPr>
        <w:t xml:space="preserve">universalization, </w:t>
      </w:r>
      <w:r w:rsidR="001F0FCD" w:rsidRPr="00521A35">
        <w:rPr>
          <w:lang w:val="en-US" w:eastAsia="zh-CN"/>
        </w:rPr>
        <w:t xml:space="preserve">reiterated </w:t>
      </w:r>
      <w:r w:rsidR="00E5719F">
        <w:rPr>
          <w:lang w:val="en-US" w:eastAsia="zh-CN"/>
        </w:rPr>
        <w:t>its call t</w:t>
      </w:r>
      <w:r w:rsidR="0089587F">
        <w:rPr>
          <w:lang w:val="en-US" w:eastAsia="zh-CN"/>
        </w:rPr>
        <w:t>o</w:t>
      </w:r>
      <w:r w:rsidR="00E5719F">
        <w:rPr>
          <w:lang w:val="en-US" w:eastAsia="zh-CN"/>
        </w:rPr>
        <w:t xml:space="preserve"> </w:t>
      </w:r>
      <w:r w:rsidR="001F0FCD" w:rsidRPr="00521A35">
        <w:rPr>
          <w:lang w:val="en-US" w:eastAsia="zh-CN"/>
        </w:rPr>
        <w:t xml:space="preserve">all States </w:t>
      </w:r>
      <w:r w:rsidR="00823DF1">
        <w:rPr>
          <w:lang w:val="en-US" w:eastAsia="zh-CN"/>
        </w:rPr>
        <w:t>that have not yet done so</w:t>
      </w:r>
      <w:r w:rsidR="004A329C">
        <w:rPr>
          <w:lang w:val="en-US" w:eastAsia="zh-CN"/>
        </w:rPr>
        <w:t xml:space="preserve">, to </w:t>
      </w:r>
      <w:r w:rsidR="0089587F">
        <w:rPr>
          <w:lang w:val="en-US" w:eastAsia="zh-CN"/>
        </w:rPr>
        <w:t>ratify</w:t>
      </w:r>
      <w:r w:rsidR="00B10F6E">
        <w:rPr>
          <w:lang w:val="en-US" w:eastAsia="zh-CN"/>
        </w:rPr>
        <w:t xml:space="preserve"> or otherwise accede to the </w:t>
      </w:r>
      <w:r w:rsidR="0089587F">
        <w:rPr>
          <w:lang w:val="en-US" w:eastAsia="zh-CN"/>
        </w:rPr>
        <w:t>Convention</w:t>
      </w:r>
      <w:r w:rsidR="00B10F6E">
        <w:rPr>
          <w:lang w:val="en-US" w:eastAsia="zh-CN"/>
        </w:rPr>
        <w:t xml:space="preserve">, and </w:t>
      </w:r>
      <w:r w:rsidR="00DD2DA7">
        <w:rPr>
          <w:lang w:val="en-US" w:eastAsia="zh-CN"/>
        </w:rPr>
        <w:t xml:space="preserve">particularly in the current context, </w:t>
      </w:r>
      <w:r w:rsidR="001F0FCD" w:rsidRPr="00521A35">
        <w:rPr>
          <w:lang w:val="en-US" w:eastAsia="zh-CN"/>
        </w:rPr>
        <w:t xml:space="preserve"> </w:t>
      </w:r>
      <w:r w:rsidR="00FC7085" w:rsidRPr="00521A35">
        <w:rPr>
          <w:lang w:val="en-US" w:eastAsia="zh-CN"/>
        </w:rPr>
        <w:t xml:space="preserve">reminded </w:t>
      </w:r>
      <w:r w:rsidR="006C461D" w:rsidRPr="006C461D">
        <w:rPr>
          <w:lang w:val="en-US" w:eastAsia="zh-CN"/>
        </w:rPr>
        <w:t>the joint obligation of</w:t>
      </w:r>
      <w:r w:rsidR="006C461D">
        <w:rPr>
          <w:lang w:val="en-US" w:eastAsia="zh-CN"/>
        </w:rPr>
        <w:t xml:space="preserve"> </w:t>
      </w:r>
      <w:r w:rsidR="00FC7085" w:rsidRPr="00521A35">
        <w:rPr>
          <w:lang w:val="en-US" w:eastAsia="zh-CN"/>
        </w:rPr>
        <w:t>all States Parties to promote universal adherence to the Convention</w:t>
      </w:r>
      <w:r w:rsidR="001F0FCD" w:rsidRPr="00521A35">
        <w:rPr>
          <w:lang w:val="en-US" w:eastAsia="zh-CN"/>
        </w:rPr>
        <w:t>,</w:t>
      </w:r>
      <w:r w:rsidR="00FC7085" w:rsidRPr="00521A35">
        <w:rPr>
          <w:lang w:val="en-US" w:eastAsia="zh-CN"/>
        </w:rPr>
        <w:t xml:space="preserve"> and in that regard called on all States Parties </w:t>
      </w:r>
      <w:r w:rsidR="00827BE2" w:rsidRPr="00521A35">
        <w:rPr>
          <w:lang w:val="en-US" w:eastAsia="zh-CN"/>
        </w:rPr>
        <w:t xml:space="preserve">and other stakeholders </w:t>
      </w:r>
      <w:r w:rsidR="00FC7085" w:rsidRPr="00521A35">
        <w:rPr>
          <w:lang w:val="en-US" w:eastAsia="zh-CN"/>
        </w:rPr>
        <w:t xml:space="preserve">to spare no efforts </w:t>
      </w:r>
      <w:r w:rsidR="00AF6441">
        <w:rPr>
          <w:lang w:val="en-US" w:eastAsia="zh-CN"/>
        </w:rPr>
        <w:t xml:space="preserve">on this issue as a </w:t>
      </w:r>
      <w:r w:rsidR="00DF19A3">
        <w:rPr>
          <w:lang w:val="en-US" w:eastAsia="zh-CN"/>
        </w:rPr>
        <w:t>matter of priority</w:t>
      </w:r>
      <w:r w:rsidR="00BF21E1">
        <w:rPr>
          <w:lang w:val="en-US" w:eastAsia="zh-CN"/>
        </w:rPr>
        <w:t xml:space="preserve">, including </w:t>
      </w:r>
      <w:r w:rsidR="00FC7085" w:rsidRPr="00521A35">
        <w:rPr>
          <w:lang w:val="en-US" w:eastAsia="zh-CN"/>
        </w:rPr>
        <w:t>to prevent any withdrawal</w:t>
      </w:r>
      <w:r w:rsidR="0089587F">
        <w:rPr>
          <w:lang w:val="en-US" w:eastAsia="zh-CN"/>
        </w:rPr>
        <w:t>.</w:t>
      </w:r>
    </w:p>
    <w:p w14:paraId="7598767A" w14:textId="0BF9DDA4" w:rsidR="001F0FCD" w:rsidRPr="00521A35" w:rsidRDefault="00B20AB6" w:rsidP="008201C5">
      <w:pPr>
        <w:pStyle w:val="ParNoG"/>
        <w:rPr>
          <w:lang w:val="en-US" w:eastAsia="zh-CN"/>
        </w:rPr>
      </w:pPr>
      <w:r w:rsidRPr="00521A35">
        <w:rPr>
          <w:lang w:val="en-US" w:eastAsia="zh-CN"/>
        </w:rPr>
        <w:t xml:space="preserve">The Meeting expressed its appreciation for the </w:t>
      </w:r>
      <w:r w:rsidR="001F0FCD" w:rsidRPr="00521A35">
        <w:rPr>
          <w:lang w:val="en-US" w:eastAsia="zh-CN"/>
        </w:rPr>
        <w:t xml:space="preserve">work of </w:t>
      </w:r>
      <w:r w:rsidRPr="00521A35">
        <w:rPr>
          <w:lang w:val="en-US" w:eastAsia="zh-CN"/>
        </w:rPr>
        <w:t xml:space="preserve">Malawi and Peru as Coordinators on </w:t>
      </w:r>
      <w:r w:rsidR="00074D9E" w:rsidRPr="00521A35">
        <w:rPr>
          <w:lang w:val="en-US" w:eastAsia="zh-CN"/>
        </w:rPr>
        <w:t>Universalization</w:t>
      </w:r>
      <w:r w:rsidR="001F0FCD" w:rsidRPr="00521A35">
        <w:rPr>
          <w:lang w:val="en-US" w:eastAsia="zh-CN"/>
        </w:rPr>
        <w:t xml:space="preserve"> and welcomed their efforts in advancing implementation of th</w:t>
      </w:r>
      <w:r w:rsidR="00624D0D" w:rsidRPr="00521A35">
        <w:rPr>
          <w:lang w:val="en-US" w:eastAsia="zh-CN"/>
        </w:rPr>
        <w:t>ese</w:t>
      </w:r>
      <w:r w:rsidR="001F0FCD" w:rsidRPr="00521A35">
        <w:rPr>
          <w:lang w:val="en-US" w:eastAsia="zh-CN"/>
        </w:rPr>
        <w:t xml:space="preserve"> obligation</w:t>
      </w:r>
      <w:r w:rsidR="00624D0D" w:rsidRPr="00521A35">
        <w:rPr>
          <w:lang w:val="en-US" w:eastAsia="zh-CN"/>
        </w:rPr>
        <w:t>s</w:t>
      </w:r>
      <w:r w:rsidR="001F0FCD" w:rsidRPr="00521A35">
        <w:rPr>
          <w:lang w:val="en-US" w:eastAsia="zh-CN"/>
        </w:rPr>
        <w:t>.</w:t>
      </w:r>
    </w:p>
    <w:p w14:paraId="2EB939A7" w14:textId="284E2F55" w:rsidR="00E94570" w:rsidRDefault="00BC1CF7" w:rsidP="008201C5">
      <w:pPr>
        <w:pStyle w:val="ParNoG"/>
        <w:rPr>
          <w:lang w:val="en-US" w:eastAsia="zh-CN"/>
        </w:rPr>
      </w:pPr>
      <w:proofErr w:type="gramStart"/>
      <w:r w:rsidRPr="00521A35">
        <w:rPr>
          <w:lang w:eastAsia="zh-CN"/>
        </w:rPr>
        <w:t>Also</w:t>
      </w:r>
      <w:proofErr w:type="gramEnd"/>
      <w:r w:rsidRPr="00521A35">
        <w:rPr>
          <w:lang w:eastAsia="zh-CN"/>
        </w:rPr>
        <w:t xml:space="preserve"> in the context of its consideration of the operation and status of the Convention, </w:t>
      </w:r>
      <w:r w:rsidRPr="00521A35">
        <w:rPr>
          <w:lang w:val="en-US" w:eastAsia="zh-CN"/>
        </w:rPr>
        <w:t>the Meeting welcomed the destruction of their respective stockpiles of cluster munitions by South Africa and Peru thus marking the completion by all States parties to the Convention of the art</w:t>
      </w:r>
      <w:r w:rsidR="002907F1" w:rsidRPr="00521A35">
        <w:rPr>
          <w:lang w:val="en-US" w:eastAsia="zh-CN"/>
        </w:rPr>
        <w:t xml:space="preserve">icle </w:t>
      </w:r>
      <w:r w:rsidRPr="00521A35">
        <w:rPr>
          <w:lang w:val="en-US" w:eastAsia="zh-CN"/>
        </w:rPr>
        <w:t>3 obligations</w:t>
      </w:r>
      <w:r w:rsidR="00E82949">
        <w:rPr>
          <w:lang w:val="en-US" w:eastAsia="zh-CN"/>
        </w:rPr>
        <w:t xml:space="preserve">. The Meeting </w:t>
      </w:r>
      <w:r w:rsidR="0079390E" w:rsidRPr="00521A35">
        <w:rPr>
          <w:lang w:val="en-US" w:eastAsia="zh-CN"/>
        </w:rPr>
        <w:t xml:space="preserve">warmly </w:t>
      </w:r>
      <w:r w:rsidR="004635F9">
        <w:rPr>
          <w:lang w:val="en-US" w:eastAsia="zh-CN"/>
        </w:rPr>
        <w:t>welcomed</w:t>
      </w:r>
      <w:r w:rsidR="00AF580C">
        <w:rPr>
          <w:lang w:val="en-US" w:eastAsia="zh-CN"/>
        </w:rPr>
        <w:t xml:space="preserve"> th</w:t>
      </w:r>
      <w:r w:rsidR="0079390E">
        <w:rPr>
          <w:lang w:val="en-US" w:eastAsia="zh-CN"/>
        </w:rPr>
        <w:t>is</w:t>
      </w:r>
      <w:r w:rsidR="00AF580C">
        <w:rPr>
          <w:lang w:val="en-US" w:eastAsia="zh-CN"/>
        </w:rPr>
        <w:t xml:space="preserve"> </w:t>
      </w:r>
      <w:r w:rsidR="00D1490B">
        <w:rPr>
          <w:lang w:val="en-US" w:eastAsia="zh-CN"/>
        </w:rPr>
        <w:t>important</w:t>
      </w:r>
      <w:r w:rsidR="005401B0">
        <w:rPr>
          <w:lang w:val="en-US" w:eastAsia="zh-CN"/>
        </w:rPr>
        <w:t xml:space="preserve"> achievement</w:t>
      </w:r>
      <w:r w:rsidRPr="00521A35">
        <w:rPr>
          <w:lang w:val="en-US" w:eastAsia="zh-CN"/>
        </w:rPr>
        <w:t>.</w:t>
      </w:r>
      <w:r w:rsidR="006A4761">
        <w:rPr>
          <w:lang w:val="en-US" w:eastAsia="zh-CN"/>
        </w:rPr>
        <w:t xml:space="preserve"> </w:t>
      </w:r>
    </w:p>
    <w:p w14:paraId="289E7D04" w14:textId="2ADA48E1" w:rsidR="00247C8D" w:rsidRDefault="00247C8D" w:rsidP="008201C5">
      <w:pPr>
        <w:pStyle w:val="ParNoG"/>
        <w:rPr>
          <w:lang w:eastAsia="zh-CN"/>
        </w:rPr>
      </w:pPr>
      <w:proofErr w:type="gramStart"/>
      <w:r w:rsidRPr="00521A35">
        <w:rPr>
          <w:lang w:eastAsia="zh-CN"/>
        </w:rPr>
        <w:t>Also</w:t>
      </w:r>
      <w:proofErr w:type="gramEnd"/>
      <w:r w:rsidRPr="00521A35">
        <w:rPr>
          <w:lang w:eastAsia="zh-CN"/>
        </w:rPr>
        <w:t xml:space="preserve"> in the context of its consideration of the operation and status of the Convention, </w:t>
      </w:r>
      <w:r w:rsidRPr="00521A35">
        <w:rPr>
          <w:lang w:val="en-US" w:eastAsia="zh-CN"/>
        </w:rPr>
        <w:t xml:space="preserve">the Meeting </w:t>
      </w:r>
      <w:r w:rsidRPr="00521A35">
        <w:rPr>
          <w:lang w:eastAsia="zh-CN"/>
        </w:rPr>
        <w:t>welcomed the announcement by Belgium of the neutralization of all cluster munitions retained for training purposes</w:t>
      </w:r>
      <w:r w:rsidRPr="00521A35">
        <w:rPr>
          <w:lang w:val="en-US" w:eastAsia="zh-CN"/>
        </w:rPr>
        <w:t xml:space="preserve"> pursuant to art</w:t>
      </w:r>
      <w:r w:rsidR="002907F1" w:rsidRPr="00521A35">
        <w:rPr>
          <w:lang w:val="en-US" w:eastAsia="zh-CN"/>
        </w:rPr>
        <w:t>icle</w:t>
      </w:r>
      <w:r w:rsidRPr="00521A35">
        <w:rPr>
          <w:lang w:val="en-US" w:eastAsia="zh-CN"/>
        </w:rPr>
        <w:t xml:space="preserve"> 3(6). The Meeting emphasized that retaining </w:t>
      </w:r>
      <w:r w:rsidRPr="00521A35">
        <w:rPr>
          <w:lang w:eastAsia="zh-CN"/>
        </w:rPr>
        <w:t xml:space="preserve">explosive submunitions for the development of and training in cluster munition and explosive submunition detection, clearance, or destruction techniques, or for the development of cluster munition </w:t>
      </w:r>
      <w:proofErr w:type="gramStart"/>
      <w:r w:rsidRPr="00521A35">
        <w:rPr>
          <w:lang w:eastAsia="zh-CN"/>
        </w:rPr>
        <w:t>counter-measures</w:t>
      </w:r>
      <w:proofErr w:type="gramEnd"/>
      <w:r w:rsidRPr="00521A35">
        <w:rPr>
          <w:lang w:eastAsia="zh-CN"/>
        </w:rPr>
        <w:t>, should be maintained at the strict necessary minimum.</w:t>
      </w:r>
      <w:r>
        <w:rPr>
          <w:lang w:eastAsia="zh-CN"/>
        </w:rPr>
        <w:t xml:space="preserve"> </w:t>
      </w:r>
    </w:p>
    <w:p w14:paraId="520024CA" w14:textId="1C0B9F08" w:rsidR="00074D9E" w:rsidRPr="00056068" w:rsidRDefault="00074D9E" w:rsidP="008201C5">
      <w:pPr>
        <w:pStyle w:val="ParNoG"/>
        <w:rPr>
          <w:lang w:val="en-US" w:eastAsia="zh-CN"/>
        </w:rPr>
      </w:pPr>
      <w:r w:rsidRPr="00056068">
        <w:rPr>
          <w:lang w:val="en-US" w:eastAsia="zh-CN"/>
        </w:rPr>
        <w:t xml:space="preserve">The Meeting </w:t>
      </w:r>
      <w:r w:rsidRPr="00B20AB6">
        <w:rPr>
          <w:lang w:val="en-US" w:eastAsia="zh-CN"/>
        </w:rPr>
        <w:t xml:space="preserve">expressed its appreciation for the efforts made by </w:t>
      </w:r>
      <w:r>
        <w:rPr>
          <w:lang w:val="en-US" w:eastAsia="zh-CN"/>
        </w:rPr>
        <w:t>th</w:t>
      </w:r>
      <w:r w:rsidRPr="00056068">
        <w:rPr>
          <w:lang w:val="en-US" w:eastAsia="zh-CN"/>
        </w:rPr>
        <w:t>e Netherlands</w:t>
      </w:r>
      <w:r>
        <w:rPr>
          <w:lang w:val="en-US" w:eastAsia="zh-CN"/>
        </w:rPr>
        <w:t xml:space="preserve"> and Zambia</w:t>
      </w:r>
      <w:r w:rsidRPr="00056068">
        <w:rPr>
          <w:lang w:val="en-US" w:eastAsia="zh-CN"/>
        </w:rPr>
        <w:t>, Coordinators on Stockpile Destruction and Retention, in advancing implementation of th</w:t>
      </w:r>
      <w:r w:rsidR="00624D0D">
        <w:rPr>
          <w:lang w:val="en-US" w:eastAsia="zh-CN"/>
        </w:rPr>
        <w:t>ese</w:t>
      </w:r>
      <w:r w:rsidRPr="00056068">
        <w:rPr>
          <w:lang w:val="en-US" w:eastAsia="zh-CN"/>
        </w:rPr>
        <w:t xml:space="preserve"> obligations.</w:t>
      </w:r>
    </w:p>
    <w:p w14:paraId="5222B3C2" w14:textId="65CA0D9C" w:rsidR="00BE2BDB" w:rsidRPr="00BE2BDB" w:rsidRDefault="00BE2BDB" w:rsidP="008201C5">
      <w:pPr>
        <w:pStyle w:val="ParNoG"/>
        <w:rPr>
          <w:lang w:eastAsia="zh-CN"/>
        </w:rPr>
      </w:pPr>
      <w:bookmarkStart w:id="15" w:name="_Hlk56616398"/>
      <w:proofErr w:type="gramStart"/>
      <w:r w:rsidRPr="00BE2BDB">
        <w:rPr>
          <w:lang w:eastAsia="zh-CN"/>
        </w:rPr>
        <w:t>Also</w:t>
      </w:r>
      <w:proofErr w:type="gramEnd"/>
      <w:r w:rsidRPr="00BE2BDB">
        <w:rPr>
          <w:lang w:eastAsia="zh-CN"/>
        </w:rPr>
        <w:t xml:space="preserve"> in </w:t>
      </w:r>
      <w:bookmarkEnd w:id="15"/>
      <w:r w:rsidRPr="00BE2BDB">
        <w:rPr>
          <w:lang w:eastAsia="zh-CN"/>
        </w:rPr>
        <w:t>the context of considering the general status and operation of the Convention and taking into account the</w:t>
      </w:r>
      <w:r w:rsidR="007F5F5C" w:rsidRPr="00BE2BDB">
        <w:rPr>
          <w:lang w:eastAsia="zh-CN"/>
        </w:rPr>
        <w:t xml:space="preserve"> requests </w:t>
      </w:r>
      <w:r w:rsidR="007F5F5C">
        <w:rPr>
          <w:lang w:eastAsia="zh-CN"/>
        </w:rPr>
        <w:t xml:space="preserve">and the </w:t>
      </w:r>
      <w:r w:rsidRPr="00BE2BDB">
        <w:rPr>
          <w:lang w:eastAsia="zh-CN"/>
        </w:rPr>
        <w:t xml:space="preserve">analysis presented by the </w:t>
      </w:r>
      <w:r w:rsidR="00E26136" w:rsidRPr="00E26136">
        <w:rPr>
          <w:lang w:eastAsia="zh-CN"/>
        </w:rPr>
        <w:t xml:space="preserve">Analysis group for Article 4 extension </w:t>
      </w:r>
      <w:r w:rsidRPr="00BE2BDB">
        <w:rPr>
          <w:lang w:eastAsia="zh-CN"/>
        </w:rPr>
        <w:t xml:space="preserve">of the requests submitted under </w:t>
      </w:r>
      <w:r w:rsidR="006A41BE" w:rsidRPr="00BE2BDB">
        <w:rPr>
          <w:lang w:eastAsia="zh-CN"/>
        </w:rPr>
        <w:t xml:space="preserve">article </w:t>
      </w:r>
      <w:r w:rsidR="007F5F5C">
        <w:rPr>
          <w:lang w:eastAsia="zh-CN"/>
        </w:rPr>
        <w:t>4</w:t>
      </w:r>
      <w:r w:rsidRPr="00BE2BDB">
        <w:rPr>
          <w:lang w:eastAsia="zh-CN"/>
        </w:rPr>
        <w:t xml:space="preserve"> of the Convention, the Meeting took the following decisions:</w:t>
      </w:r>
    </w:p>
    <w:p w14:paraId="359FE50B" w14:textId="6371442D" w:rsidR="00BE2BDB" w:rsidRPr="00682C6C" w:rsidRDefault="007F5F5C" w:rsidP="000C7D8B">
      <w:pPr>
        <w:tabs>
          <w:tab w:val="left" w:pos="1701"/>
          <w:tab w:val="left" w:pos="2268"/>
          <w:tab w:val="left" w:pos="2835"/>
        </w:tabs>
        <w:spacing w:after="120"/>
        <w:ind w:left="1134" w:right="1134"/>
        <w:jc w:val="center"/>
        <w:rPr>
          <w:rFonts w:asciiTheme="majorBidi" w:eastAsia="Calibri" w:hAnsiTheme="majorBidi" w:cstheme="majorBidi"/>
          <w:b/>
          <w:bCs/>
          <w:i/>
          <w:iCs/>
          <w:lang w:eastAsia="zh-CN"/>
        </w:rPr>
      </w:pPr>
      <w:r w:rsidRPr="00682C6C">
        <w:rPr>
          <w:rFonts w:asciiTheme="majorBidi" w:eastAsia="Calibri" w:hAnsiTheme="majorBidi" w:cstheme="majorBidi"/>
          <w:b/>
          <w:bCs/>
          <w:i/>
          <w:iCs/>
          <w:lang w:eastAsia="zh-CN"/>
        </w:rPr>
        <w:t>Chad</w:t>
      </w:r>
    </w:p>
    <w:p w14:paraId="5D25EBCB" w14:textId="4DB641A7" w:rsidR="00A430EF" w:rsidRPr="008201C5" w:rsidRDefault="00A430EF" w:rsidP="008201C5">
      <w:pPr>
        <w:pStyle w:val="ParNoG"/>
      </w:pPr>
      <w:r w:rsidRPr="008201C5">
        <w:t>The Meeting of State Parties assessed the request submitted by Chad for an extension of its deadline for completing the clearance and destruction of cluster munition remnants in accordance with Article 4.1 of the Convention and agrees to grant the request for an extension of two years until 1 October 2026.</w:t>
      </w:r>
    </w:p>
    <w:p w14:paraId="12D3B453" w14:textId="77777777" w:rsidR="00A430EF" w:rsidRPr="008201C5" w:rsidRDefault="00A430EF" w:rsidP="008201C5">
      <w:pPr>
        <w:pStyle w:val="ParNoG"/>
      </w:pPr>
      <w:r w:rsidRPr="008201C5">
        <w:t xml:space="preserve">In granting the request, the Meeting notes that the non-technical survey (NTS) of the Tibesti Province will inform the extent of the remaining cluster munition contamination to be cleared. </w:t>
      </w:r>
    </w:p>
    <w:p w14:paraId="5EB98501" w14:textId="77777777" w:rsidR="00A430EF" w:rsidRPr="008201C5" w:rsidRDefault="00A430EF" w:rsidP="008201C5">
      <w:pPr>
        <w:pStyle w:val="ParNoG"/>
      </w:pPr>
      <w:r w:rsidRPr="008201C5">
        <w:t xml:space="preserve">The extension period will be used to mobilize funding and resources for survey teams. Based on the findings, Chad will prepare a comprehensive work plan and potentially request a further extension, to address any identified contaminated areas. </w:t>
      </w:r>
    </w:p>
    <w:p w14:paraId="0E3061B1" w14:textId="77777777" w:rsidR="00A430EF" w:rsidRPr="008201C5" w:rsidRDefault="00A430EF" w:rsidP="008201C5">
      <w:pPr>
        <w:pStyle w:val="ParNoG"/>
      </w:pPr>
      <w:r w:rsidRPr="008201C5">
        <w:t xml:space="preserve">In granting the request, the Meeting strongly recommends that Chad regularly reports to State Parties on its resource mobilization activities and status, so that the Group is informed of the extent to which non-technical survey efforts can be carried out. </w:t>
      </w:r>
    </w:p>
    <w:p w14:paraId="71206D1C" w14:textId="77777777" w:rsidR="00A430EF" w:rsidRPr="008201C5" w:rsidRDefault="00A430EF" w:rsidP="008201C5">
      <w:pPr>
        <w:pStyle w:val="ParNoG"/>
      </w:pPr>
      <w:r w:rsidRPr="008201C5">
        <w:t xml:space="preserve">In granting the request, the Meeting recalls Article 6 of the Convention, according to which, in fulfilling its obligations under this Convention, each State Party has the right to seek and receive assistance. </w:t>
      </w:r>
    </w:p>
    <w:p w14:paraId="0406B2A7" w14:textId="77777777" w:rsidR="00A430EF" w:rsidRPr="008201C5" w:rsidRDefault="00A430EF" w:rsidP="008201C5">
      <w:pPr>
        <w:pStyle w:val="ParNoG"/>
      </w:pPr>
      <w:r w:rsidRPr="008201C5">
        <w:t xml:space="preserve">In granting the request, the Meeting recommends that Chad regularly reports to State Parties on the outcomes of the NTS and provides a costed work plan that includes risk education activities, and a resource mobilization plan. </w:t>
      </w:r>
    </w:p>
    <w:p w14:paraId="10005E4D" w14:textId="75CFC29B" w:rsidR="00A430EF" w:rsidRPr="008201C5" w:rsidRDefault="00474AFC" w:rsidP="008201C5">
      <w:pPr>
        <w:pStyle w:val="ParNoG"/>
      </w:pPr>
      <w:r w:rsidRPr="008201C5">
        <w:lastRenderedPageBreak/>
        <w:t>In granting the request, the Meeting noted that the Convention would benefit from Chad reporting through its Article 7 report and at Meeting of States Parties or Review Conferences on the following</w:t>
      </w:r>
      <w:r w:rsidR="00A430EF" w:rsidRPr="008201C5">
        <w:t>:</w:t>
      </w:r>
    </w:p>
    <w:p w14:paraId="792E7B33" w14:textId="77777777" w:rsidR="00A430EF" w:rsidRPr="00AA5CA1" w:rsidRDefault="00A430EF" w:rsidP="00A430EF">
      <w:pPr>
        <w:pStyle w:val="SingleTxtG"/>
      </w:pPr>
      <w:r>
        <w:tab/>
        <w:t>(a)</w:t>
      </w:r>
      <w:r>
        <w:tab/>
      </w:r>
      <w:r w:rsidRPr="00AA5CA1">
        <w:t>Progress made on resource mobilization activities;</w:t>
      </w:r>
    </w:p>
    <w:p w14:paraId="07393B75" w14:textId="77777777" w:rsidR="00A430EF" w:rsidRPr="00AA5CA1" w:rsidRDefault="00A430EF" w:rsidP="00A430EF">
      <w:pPr>
        <w:pStyle w:val="SingleTxtG"/>
      </w:pPr>
      <w:r>
        <w:tab/>
        <w:t>(b)</w:t>
      </w:r>
      <w:r>
        <w:tab/>
      </w:r>
      <w:r w:rsidRPr="00AA5CA1">
        <w:t>Progress made on non-technical survey activities in the Tibesti Province;</w:t>
      </w:r>
    </w:p>
    <w:p w14:paraId="39AAA895" w14:textId="77777777" w:rsidR="00A430EF" w:rsidRPr="00AA5CA1" w:rsidRDefault="00A430EF" w:rsidP="00A430EF">
      <w:pPr>
        <w:pStyle w:val="SingleTxtG"/>
        <w:ind w:left="2268" w:hanging="1134"/>
      </w:pPr>
      <w:r>
        <w:tab/>
        <w:t>(c)</w:t>
      </w:r>
      <w:r>
        <w:tab/>
      </w:r>
      <w:r w:rsidRPr="00AA5CA1">
        <w:t>Updated information on the remaining cluster munition contamination based on the findings of the non-technical survey;</w:t>
      </w:r>
    </w:p>
    <w:p w14:paraId="631234FE" w14:textId="77777777" w:rsidR="00A430EF" w:rsidRPr="00AA5CA1" w:rsidRDefault="00A430EF" w:rsidP="00A430EF">
      <w:pPr>
        <w:pStyle w:val="SingleTxtG"/>
      </w:pPr>
      <w:r>
        <w:tab/>
        <w:t>(d)</w:t>
      </w:r>
      <w:r>
        <w:tab/>
      </w:r>
      <w:r w:rsidRPr="00AA5CA1">
        <w:t>A detailed, updated work plan and budget for the subsequent year;</w:t>
      </w:r>
    </w:p>
    <w:p w14:paraId="4C87DE72" w14:textId="77777777" w:rsidR="00A430EF" w:rsidRPr="00AA5CA1" w:rsidRDefault="00A430EF" w:rsidP="00A430EF">
      <w:pPr>
        <w:pStyle w:val="SingleTxtG"/>
      </w:pPr>
      <w:r>
        <w:tab/>
        <w:t>(e)</w:t>
      </w:r>
      <w:r>
        <w:tab/>
      </w:r>
      <w:r w:rsidRPr="00AA5CA1">
        <w:t>Updated information on land released through survey and clearance;</w:t>
      </w:r>
    </w:p>
    <w:p w14:paraId="136DA404" w14:textId="77777777" w:rsidR="00A430EF" w:rsidRPr="00AA5CA1" w:rsidRDefault="00A430EF" w:rsidP="00A430EF">
      <w:pPr>
        <w:pStyle w:val="SingleTxtG"/>
        <w:ind w:left="2268" w:hanging="1134"/>
      </w:pPr>
      <w:bookmarkStart w:id="16" w:name="_Hlk170979231"/>
      <w:r>
        <w:tab/>
        <w:t>(f)</w:t>
      </w:r>
      <w:r>
        <w:tab/>
      </w:r>
      <w:r w:rsidRPr="00AA5CA1">
        <w:t>Any obstacle(s) identified to the fulfilment of its Article 4 obligation within the timeframe granted in its Extension Request.</w:t>
      </w:r>
    </w:p>
    <w:bookmarkEnd w:id="16"/>
    <w:p w14:paraId="7039F6CE" w14:textId="77777777" w:rsidR="00A430EF" w:rsidRPr="00CD1A11" w:rsidRDefault="00A430EF" w:rsidP="00CD1A11">
      <w:pPr>
        <w:pStyle w:val="ParNoG"/>
      </w:pPr>
      <w:r w:rsidRPr="00CD1A11">
        <w:t>In addition to reporting as requested above, the Meeting noted the importance of Chad keeping the States Parties regularly apprised of any other pertinent developments regarding the implementation of its Article 4.1 obligations during the period covered by the request, as necessary.</w:t>
      </w:r>
    </w:p>
    <w:p w14:paraId="49ADD60E" w14:textId="1ED3FB24" w:rsidR="007F5F5C" w:rsidRPr="00682C6C" w:rsidRDefault="00A430EF" w:rsidP="000C7D8B">
      <w:pPr>
        <w:tabs>
          <w:tab w:val="left" w:pos="1701"/>
          <w:tab w:val="left" w:pos="2268"/>
          <w:tab w:val="left" w:pos="2835"/>
        </w:tabs>
        <w:spacing w:after="120"/>
        <w:ind w:left="1134" w:right="1134"/>
        <w:jc w:val="center"/>
        <w:rPr>
          <w:rFonts w:asciiTheme="majorBidi" w:eastAsia="Calibri" w:hAnsiTheme="majorBidi" w:cstheme="majorBidi"/>
          <w:b/>
          <w:bCs/>
          <w:i/>
          <w:iCs/>
          <w:lang w:eastAsia="zh-CN"/>
        </w:rPr>
      </w:pPr>
      <w:r w:rsidRPr="00682C6C">
        <w:rPr>
          <w:rFonts w:asciiTheme="majorBidi" w:eastAsia="Calibri" w:hAnsiTheme="majorBidi" w:cstheme="majorBidi"/>
          <w:b/>
          <w:bCs/>
          <w:i/>
          <w:iCs/>
          <w:lang w:eastAsia="zh-CN"/>
        </w:rPr>
        <w:t>Germany</w:t>
      </w:r>
    </w:p>
    <w:p w14:paraId="00CEEFE7" w14:textId="77777777" w:rsidR="008D01ED" w:rsidRPr="00CD1A11" w:rsidRDefault="008D01ED" w:rsidP="00CD1A11">
      <w:pPr>
        <w:pStyle w:val="ParNoG"/>
      </w:pPr>
      <w:r w:rsidRPr="00CD1A11">
        <w:t xml:space="preserve">The Meeting of State Parties assessed the request submitted by Germany for an extension of its deadline for completing the clearance and destruction of cluster munition remnants in accordance with Article 4.1 of the Convention, agreeing to grant the request for an extension of five years until 1 August 2030. </w:t>
      </w:r>
    </w:p>
    <w:p w14:paraId="1DD615C9" w14:textId="77777777" w:rsidR="008D01ED" w:rsidRPr="00CD1A11" w:rsidRDefault="008D01ED" w:rsidP="00CD1A11">
      <w:pPr>
        <w:pStyle w:val="ParNoG"/>
      </w:pPr>
      <w:r w:rsidRPr="00CD1A11">
        <w:t xml:space="preserve">In granting the request, the Meeting noted that Germany continues to fully fund the clearance operations through its own national resources and therefore a plan to ensure external support for funding is not necessary. </w:t>
      </w:r>
    </w:p>
    <w:p w14:paraId="390E8195" w14:textId="77777777" w:rsidR="008D01ED" w:rsidRPr="00CD1A11" w:rsidRDefault="008D01ED" w:rsidP="00CD1A11">
      <w:pPr>
        <w:pStyle w:val="ParNoG"/>
      </w:pPr>
      <w:r w:rsidRPr="00CD1A11">
        <w:t xml:space="preserve">In granting the request, the Meeting noted that national and regional regulations, including regulations to protect the environment, in effect limit the amount of land that can be cleared on an annual basis. The meeting also notes that staffing for clearance operations is limited to personnel licensed under German regulations to carry out these activities. </w:t>
      </w:r>
    </w:p>
    <w:p w14:paraId="7C8E13FE" w14:textId="77777777" w:rsidR="008D01ED" w:rsidRPr="00CD1A11" w:rsidRDefault="008D01ED" w:rsidP="00CD1A11">
      <w:pPr>
        <w:pStyle w:val="ParNoG"/>
      </w:pPr>
      <w:r w:rsidRPr="00CD1A11">
        <w:t>In granting the request, the meeting noted that Germany’s plan the Group further notes that the workplan presented by Germany for the extension period continues to be ambitious but practicable and can be monitored. The Group also noted that the workplan is dependent on the number of days that are available for preparation of land for clearance operations, and that there is a risk that this may vary due to weather conditions. In this regard, the Group expressed concern over the limited opportunities for controlled burning, which could only take place a few days each year under specific meteorological and environmental conditions. The Group noted that in 2023, as was the case in 2017, these conditions were not favourable, thereby hindering planned operations</w:t>
      </w:r>
    </w:p>
    <w:p w14:paraId="71A1FE24" w14:textId="77777777" w:rsidR="008D01ED" w:rsidRPr="00CD1A11" w:rsidRDefault="008D01ED" w:rsidP="00CD1A11">
      <w:pPr>
        <w:pStyle w:val="ParNoG"/>
      </w:pPr>
      <w:r w:rsidRPr="00CD1A11">
        <w:t xml:space="preserve">The meeting further noted that the success of the plan presented for its second extension request will depend on the number of days that are available for preparation of land for clearance operations, weather conditions, and staffing. </w:t>
      </w:r>
    </w:p>
    <w:p w14:paraId="6E9FA97B" w14:textId="77777777" w:rsidR="008D01ED" w:rsidRPr="00CD1A11" w:rsidRDefault="008D01ED" w:rsidP="00CD1A11">
      <w:pPr>
        <w:pStyle w:val="ParNoG"/>
      </w:pPr>
      <w:r w:rsidRPr="00CD1A11">
        <w:t>In granting the request, the Meeting noted that the Convention would benefit from Germany reporting through its Article 7 report and at Meeting of States Parties or Review Conferences on the following:</w:t>
      </w:r>
    </w:p>
    <w:p w14:paraId="7E35BE01" w14:textId="77777777" w:rsidR="008D01ED" w:rsidRPr="00340B90" w:rsidRDefault="008D01ED" w:rsidP="008D01ED">
      <w:pPr>
        <w:pStyle w:val="SingleTxtG"/>
        <w:ind w:left="2268" w:hanging="1134"/>
      </w:pPr>
      <w:r>
        <w:tab/>
        <w:t>(a)</w:t>
      </w:r>
      <w:r>
        <w:tab/>
      </w:r>
      <w:r w:rsidRPr="00340B90">
        <w:t>Progress made on land cleared of cluster submunitions, as well as information on the submunitions that have been destroyed;</w:t>
      </w:r>
    </w:p>
    <w:p w14:paraId="6EC722F9" w14:textId="77777777" w:rsidR="008D01ED" w:rsidRPr="00340B90" w:rsidRDefault="008D01ED" w:rsidP="008D01ED">
      <w:pPr>
        <w:pStyle w:val="SingleTxtG"/>
        <w:ind w:left="2268" w:hanging="1134"/>
      </w:pPr>
      <w:r>
        <w:tab/>
        <w:t>(b)</w:t>
      </w:r>
      <w:r>
        <w:tab/>
      </w:r>
      <w:r w:rsidRPr="00340B90">
        <w:t>Updated information on any additional contamination identified through subsequent clearance activities, and on remaining contamination</w:t>
      </w:r>
      <w:r>
        <w:t>;</w:t>
      </w:r>
    </w:p>
    <w:p w14:paraId="689598F9" w14:textId="77777777" w:rsidR="008D01ED" w:rsidRPr="00340B90" w:rsidRDefault="008D01ED" w:rsidP="008D01ED">
      <w:pPr>
        <w:pStyle w:val="SingleTxtG"/>
        <w:ind w:left="2268" w:hanging="1134"/>
      </w:pPr>
      <w:r>
        <w:tab/>
        <w:t>(c)</w:t>
      </w:r>
      <w:r>
        <w:tab/>
      </w:r>
      <w:r w:rsidRPr="00340B90">
        <w:t>Updated detailed work plans for the subsequent year and, if possible, also for the following years</w:t>
      </w:r>
      <w:r>
        <w:t>;</w:t>
      </w:r>
    </w:p>
    <w:p w14:paraId="4E1A85A9" w14:textId="77777777" w:rsidR="008D01ED" w:rsidRPr="00340B90" w:rsidRDefault="008D01ED" w:rsidP="008D01ED">
      <w:pPr>
        <w:pStyle w:val="SingleTxtG"/>
        <w:ind w:left="2268" w:hanging="1134"/>
      </w:pPr>
      <w:r>
        <w:tab/>
        <w:t>(d)</w:t>
      </w:r>
      <w:r>
        <w:tab/>
      </w:r>
      <w:r w:rsidRPr="00340B90">
        <w:t>Any obstacles identified to fulfilling its Article 4 obligation in the timeframe presented in its extension request</w:t>
      </w:r>
      <w:r>
        <w:t>;</w:t>
      </w:r>
    </w:p>
    <w:p w14:paraId="6A86923D" w14:textId="77777777" w:rsidR="008D01ED" w:rsidRPr="00340B90" w:rsidRDefault="008D01ED" w:rsidP="008D01ED">
      <w:pPr>
        <w:pStyle w:val="SingleTxtG"/>
      </w:pPr>
      <w:r>
        <w:lastRenderedPageBreak/>
        <w:tab/>
        <w:t>(e)</w:t>
      </w:r>
      <w:r>
        <w:tab/>
      </w:r>
      <w:r w:rsidRPr="00340B90">
        <w:t>Other relevant information.</w:t>
      </w:r>
    </w:p>
    <w:p w14:paraId="47A512F0" w14:textId="77777777" w:rsidR="008D01ED" w:rsidRPr="00CD1A11" w:rsidRDefault="008D01ED" w:rsidP="00CD1A11">
      <w:pPr>
        <w:pStyle w:val="ParNoG"/>
      </w:pPr>
      <w:r w:rsidRPr="00CD1A11">
        <w:t>In addition to reporting as requested above, the Meeting noted the importance of Germany keeping the States Parties regularly apprised of any other pertinent developments regarding the implementation of its Article 4.1 obligations during the period covered by the request, as necessary.</w:t>
      </w:r>
    </w:p>
    <w:p w14:paraId="1E1FF4ED" w14:textId="416B409A" w:rsidR="00A430EF" w:rsidRPr="00CD1A11" w:rsidRDefault="00FE6AA6" w:rsidP="000C7D8B">
      <w:pPr>
        <w:tabs>
          <w:tab w:val="left" w:pos="1701"/>
          <w:tab w:val="left" w:pos="2268"/>
          <w:tab w:val="left" w:pos="2835"/>
        </w:tabs>
        <w:spacing w:after="120"/>
        <w:ind w:left="1134" w:right="1134"/>
        <w:jc w:val="center"/>
        <w:rPr>
          <w:rFonts w:asciiTheme="majorBidi" w:eastAsia="Calibri" w:hAnsiTheme="majorBidi" w:cstheme="majorBidi"/>
          <w:b/>
          <w:bCs/>
          <w:i/>
          <w:iCs/>
          <w:lang w:eastAsia="zh-CN"/>
        </w:rPr>
      </w:pPr>
      <w:r w:rsidRPr="00CD1A11">
        <w:rPr>
          <w:rFonts w:asciiTheme="majorBidi" w:eastAsia="Calibri" w:hAnsiTheme="majorBidi" w:cstheme="majorBidi"/>
          <w:b/>
          <w:bCs/>
          <w:i/>
          <w:iCs/>
          <w:lang w:eastAsia="zh-CN"/>
        </w:rPr>
        <w:t>Lao People’s Democratic Republic</w:t>
      </w:r>
    </w:p>
    <w:p w14:paraId="7A7C4AFC" w14:textId="77777777" w:rsidR="00A021AD" w:rsidRPr="00CD1A11" w:rsidRDefault="00A021AD" w:rsidP="00CD1A11">
      <w:pPr>
        <w:pStyle w:val="ParNoG"/>
      </w:pPr>
      <w:r w:rsidRPr="00CD1A11">
        <w:t xml:space="preserve">The Meeting of State Parties assessed the request submitted by Lao PDR for an extension of its deadline for completing the clearance and destruction of cluster munition remnants in accordance with Article 4.1 of the Convention and agrees to grant the request for an extension of five years until 1 August 2030. </w:t>
      </w:r>
    </w:p>
    <w:p w14:paraId="0D55ADD8" w14:textId="77777777" w:rsidR="00A021AD" w:rsidRPr="00CD1A11" w:rsidRDefault="00A021AD" w:rsidP="00CD1A11">
      <w:pPr>
        <w:pStyle w:val="ParNoG"/>
      </w:pPr>
      <w:r w:rsidRPr="00CD1A11">
        <w:t xml:space="preserve">In granting the request, the Meeting noted that Lao PDR is one of the most heavily contaminated countries by unexploded submunitions. In this regard, notwithstanding the substantial efforts undertaken during the first extension period, Lao PDR still faces significant remaining challenges in order to fulfil its Article 4 obligations. </w:t>
      </w:r>
    </w:p>
    <w:p w14:paraId="2AFAFA88" w14:textId="77777777" w:rsidR="00A021AD" w:rsidRPr="00CD1A11" w:rsidRDefault="00A021AD" w:rsidP="00CD1A11">
      <w:pPr>
        <w:pStyle w:val="ParNoG"/>
      </w:pPr>
      <w:r w:rsidRPr="00CD1A11">
        <w:t>In granting the request, the Meeting welcomes that within its first extension request, during the period from 2021 to 2023, Lao PDR undertook technical survey using the CMRS methodology to identify more than 65,134 hectares (651.34km2) of contaminated land and in the same period cleared over 16,943 hectares (169.43km2) of this amount, which equates to 26% of the contamination identified for that period.</w:t>
      </w:r>
    </w:p>
    <w:p w14:paraId="7969FCAF" w14:textId="77777777" w:rsidR="00A021AD" w:rsidRPr="00CD1A11" w:rsidRDefault="00A021AD" w:rsidP="00CD1A11">
      <w:pPr>
        <w:pStyle w:val="ParNoG"/>
      </w:pPr>
      <w:r w:rsidRPr="00CD1A11">
        <w:t>The Meeting further notes that the massive extent of contamination in Lao PDR means that survey of villages is complete in five high priority provinces but remains incomplete in the majority of provinces. As such, the rate of areas identified as CHAs will continue to rise as survey continues in the remaining provinces.</w:t>
      </w:r>
    </w:p>
    <w:p w14:paraId="720FB823" w14:textId="77777777" w:rsidR="00A021AD" w:rsidRPr="00CD1A11" w:rsidRDefault="00A021AD" w:rsidP="00CD1A11">
      <w:pPr>
        <w:pStyle w:val="ParNoG"/>
      </w:pPr>
      <w:r w:rsidRPr="00CD1A11">
        <w:t>In granting the request, the Meeting noted Lao PDR’s ongoing efforts to undertake a nationwide CMRS of populated areas, which is gradually allowing it to produce a more precise and evidence-based assessment of the actual extent of cluster munition remnant contamination.</w:t>
      </w:r>
    </w:p>
    <w:p w14:paraId="60180C93" w14:textId="77777777" w:rsidR="00A021AD" w:rsidRPr="00CD1A11" w:rsidRDefault="00A021AD" w:rsidP="00CD1A11">
      <w:pPr>
        <w:pStyle w:val="ParNoG"/>
      </w:pPr>
      <w:r w:rsidRPr="00CD1A11">
        <w:t>In granting the request, the Meeting noted that the Convention would benefit from Lao PDR reporting annually through Article 7 reports and Meeting of States Parties or Review Conferences on the following:</w:t>
      </w:r>
    </w:p>
    <w:p w14:paraId="15A758F8" w14:textId="77777777" w:rsidR="00A021AD" w:rsidRPr="00EF54BB" w:rsidRDefault="00A021AD" w:rsidP="00A021AD">
      <w:pPr>
        <w:pStyle w:val="SingleTxtG"/>
        <w:ind w:left="2268" w:hanging="1134"/>
        <w:rPr>
          <w:lang w:eastAsia="de-DE"/>
        </w:rPr>
      </w:pPr>
      <w:r>
        <w:rPr>
          <w:lang w:eastAsia="de-DE"/>
        </w:rPr>
        <w:tab/>
        <w:t>(a)</w:t>
      </w:r>
      <w:r>
        <w:rPr>
          <w:lang w:eastAsia="de-DE"/>
        </w:rPr>
        <w:tab/>
      </w:r>
      <w:r w:rsidRPr="00EF54BB">
        <w:rPr>
          <w:lang w:eastAsia="de-DE"/>
        </w:rPr>
        <w:t>Progress made on the implementation of Lao PDR’s work plan during the extension period</w:t>
      </w:r>
      <w:r>
        <w:rPr>
          <w:lang w:eastAsia="de-DE"/>
        </w:rPr>
        <w:t>;</w:t>
      </w:r>
    </w:p>
    <w:p w14:paraId="500CD558" w14:textId="77777777" w:rsidR="00A021AD" w:rsidRPr="00EF54BB" w:rsidRDefault="00A021AD" w:rsidP="00A021AD">
      <w:pPr>
        <w:pStyle w:val="SingleTxtG"/>
        <w:ind w:left="2268" w:hanging="1134"/>
        <w:rPr>
          <w:lang w:eastAsia="de-DE"/>
        </w:rPr>
      </w:pPr>
      <w:r>
        <w:rPr>
          <w:lang w:eastAsia="de-DE"/>
        </w:rPr>
        <w:tab/>
        <w:t>(b)</w:t>
      </w:r>
      <w:r>
        <w:rPr>
          <w:lang w:eastAsia="de-DE"/>
        </w:rPr>
        <w:tab/>
      </w:r>
      <w:r w:rsidRPr="00EF54BB">
        <w:rPr>
          <w:lang w:eastAsia="de-DE"/>
        </w:rPr>
        <w:t>Updated information on remaining confirmed contamination and outstanding areas to be subject to survey</w:t>
      </w:r>
      <w:r>
        <w:rPr>
          <w:lang w:eastAsia="de-DE"/>
        </w:rPr>
        <w:t>;</w:t>
      </w:r>
    </w:p>
    <w:p w14:paraId="1761741A" w14:textId="77777777" w:rsidR="00A021AD" w:rsidRPr="00EF54BB" w:rsidRDefault="00A021AD" w:rsidP="00A021AD">
      <w:pPr>
        <w:pStyle w:val="SingleTxtG"/>
        <w:ind w:left="2268" w:hanging="1134"/>
        <w:rPr>
          <w:lang w:eastAsia="de-DE"/>
        </w:rPr>
      </w:pPr>
      <w:r>
        <w:rPr>
          <w:lang w:eastAsia="de-DE"/>
        </w:rPr>
        <w:tab/>
        <w:t>(c)</w:t>
      </w:r>
      <w:r>
        <w:rPr>
          <w:lang w:eastAsia="de-DE"/>
        </w:rPr>
        <w:tab/>
      </w:r>
      <w:r w:rsidRPr="00EF54BB">
        <w:rPr>
          <w:lang w:eastAsia="de-DE"/>
        </w:rPr>
        <w:t>Updated, detailed annual plans for the implementation of its extension request based on new information gathered from survey activities</w:t>
      </w:r>
      <w:r>
        <w:rPr>
          <w:lang w:eastAsia="de-DE"/>
        </w:rPr>
        <w:t>;</w:t>
      </w:r>
    </w:p>
    <w:p w14:paraId="10AFC8D6" w14:textId="77777777" w:rsidR="00A021AD" w:rsidRPr="00EF54BB" w:rsidRDefault="00A021AD" w:rsidP="00A021AD">
      <w:pPr>
        <w:pStyle w:val="SingleTxtG"/>
        <w:ind w:left="2268" w:hanging="1134"/>
        <w:rPr>
          <w:lang w:eastAsia="de-DE"/>
        </w:rPr>
      </w:pPr>
      <w:r>
        <w:rPr>
          <w:lang w:eastAsia="de-DE"/>
        </w:rPr>
        <w:tab/>
        <w:t>(d)</w:t>
      </w:r>
      <w:r>
        <w:rPr>
          <w:lang w:eastAsia="de-DE"/>
        </w:rPr>
        <w:tab/>
      </w:r>
      <w:r w:rsidRPr="00EF54BB">
        <w:rPr>
          <w:lang w:eastAsia="de-DE"/>
        </w:rPr>
        <w:t>Resource mobilization efforts and external financing received, and resources made available by the Government of Lao PDR to support implementation efforts. In particular, the updated information on the efforts undertaken by the UXO Sector Working Group (UXO SWG), mechanism, which is a similar concept as “Country coalition”, would be of interest</w:t>
      </w:r>
      <w:r>
        <w:rPr>
          <w:lang w:eastAsia="de-DE"/>
        </w:rPr>
        <w:t>;</w:t>
      </w:r>
    </w:p>
    <w:p w14:paraId="42B886D8" w14:textId="77777777" w:rsidR="00A021AD" w:rsidRPr="00CD1A11" w:rsidRDefault="00A021AD" w:rsidP="00A021AD">
      <w:pPr>
        <w:pStyle w:val="SingleTxtG"/>
        <w:rPr>
          <w:lang w:eastAsia="de-DE"/>
        </w:rPr>
      </w:pPr>
      <w:r>
        <w:rPr>
          <w:lang w:eastAsia="de-DE"/>
        </w:rPr>
        <w:tab/>
      </w:r>
      <w:r w:rsidRPr="00CD1A11">
        <w:rPr>
          <w:lang w:eastAsia="de-DE"/>
        </w:rPr>
        <w:t>(e)</w:t>
      </w:r>
      <w:r w:rsidRPr="00CD1A11">
        <w:rPr>
          <w:lang w:eastAsia="de-DE"/>
        </w:rPr>
        <w:tab/>
        <w:t>Other relevant information.</w:t>
      </w:r>
    </w:p>
    <w:p w14:paraId="3C19E2C9" w14:textId="77777777" w:rsidR="00A021AD" w:rsidRPr="008777F7" w:rsidRDefault="00A021AD" w:rsidP="00CD1A11">
      <w:pPr>
        <w:pStyle w:val="ParNoG"/>
        <w:rPr>
          <w:lang w:eastAsia="de-DE"/>
        </w:rPr>
      </w:pPr>
      <w:r w:rsidRPr="008777F7">
        <w:rPr>
          <w:lang w:eastAsia="de-DE"/>
        </w:rPr>
        <w:t xml:space="preserve">In addition to reporting as requested above, the Meeting noted the importance of Lao PDR keeping the States Parties regularly apprised of any other pertinent developments regarding the implementation of its Article 4.1 obligations during the period covered by the request, as necessary. </w:t>
      </w:r>
    </w:p>
    <w:p w14:paraId="7B63EE34" w14:textId="07A49F6F" w:rsidR="00BC1CF7" w:rsidRPr="008777F7" w:rsidRDefault="2640B5F3" w:rsidP="008777F7">
      <w:pPr>
        <w:pStyle w:val="ParNoG"/>
        <w:rPr>
          <w:lang w:eastAsia="zh-CN"/>
        </w:rPr>
      </w:pPr>
      <w:bookmarkStart w:id="17" w:name="_Hlk177037464"/>
      <w:bookmarkStart w:id="18" w:name="_Hlk176966311"/>
      <w:r w:rsidRPr="008777F7">
        <w:rPr>
          <w:lang w:eastAsia="zh-CN"/>
        </w:rPr>
        <w:t xml:space="preserve">Also in the context of its consideration of the operation and status of the Convention, </w:t>
      </w:r>
      <w:r w:rsidRPr="008777F7">
        <w:rPr>
          <w:lang w:val="en-US" w:eastAsia="zh-CN"/>
        </w:rPr>
        <w:t>the Meeting</w:t>
      </w:r>
      <w:bookmarkEnd w:id="17"/>
      <w:r w:rsidRPr="008777F7">
        <w:rPr>
          <w:lang w:val="en-US" w:eastAsia="zh-CN"/>
        </w:rPr>
        <w:t xml:space="preserve"> </w:t>
      </w:r>
      <w:bookmarkEnd w:id="18"/>
      <w:r w:rsidRPr="008777F7">
        <w:rPr>
          <w:lang w:val="en-US" w:eastAsia="zh-CN"/>
        </w:rPr>
        <w:t xml:space="preserve">expressed appreciation to the Coordinators </w:t>
      </w:r>
      <w:r w:rsidRPr="008777F7">
        <w:rPr>
          <w:lang w:eastAsia="zh-CN"/>
        </w:rPr>
        <w:t xml:space="preserve">of the Working group on Clearance and </w:t>
      </w:r>
      <w:r w:rsidR="799B2813" w:rsidRPr="008777F7">
        <w:rPr>
          <w:lang w:eastAsia="zh-CN"/>
        </w:rPr>
        <w:t>R</w:t>
      </w:r>
      <w:r w:rsidRPr="008777F7">
        <w:rPr>
          <w:lang w:eastAsia="zh-CN"/>
        </w:rPr>
        <w:t xml:space="preserve">isk </w:t>
      </w:r>
      <w:r w:rsidR="799B2813" w:rsidRPr="008777F7">
        <w:rPr>
          <w:lang w:eastAsia="zh-CN"/>
        </w:rPr>
        <w:t>R</w:t>
      </w:r>
      <w:r w:rsidRPr="008777F7">
        <w:rPr>
          <w:lang w:eastAsia="zh-CN"/>
        </w:rPr>
        <w:t>eduction</w:t>
      </w:r>
      <w:r w:rsidRPr="008777F7">
        <w:rPr>
          <w:lang w:val="en-US" w:eastAsia="zh-CN"/>
        </w:rPr>
        <w:t xml:space="preserve"> </w:t>
      </w:r>
      <w:r w:rsidR="799B2813" w:rsidRPr="008777F7">
        <w:rPr>
          <w:lang w:val="en-US" w:eastAsia="zh-CN"/>
        </w:rPr>
        <w:t>E</w:t>
      </w:r>
      <w:r w:rsidR="425829BB" w:rsidRPr="008777F7">
        <w:rPr>
          <w:lang w:val="en-US" w:eastAsia="zh-CN"/>
        </w:rPr>
        <w:t xml:space="preserve">ducation </w:t>
      </w:r>
      <w:r w:rsidRPr="008777F7">
        <w:rPr>
          <w:lang w:val="en-US" w:eastAsia="zh-CN"/>
        </w:rPr>
        <w:t xml:space="preserve">for their work and decided, as proposed by the Coordinators in their working paper on </w:t>
      </w:r>
      <w:r w:rsidRPr="008777F7">
        <w:rPr>
          <w:lang w:eastAsia="zh-CN"/>
        </w:rPr>
        <w:t>Explosive Ordnance Risk Education (EORE) in the Convention on Cluster Munitions (</w:t>
      </w:r>
      <w:r w:rsidRPr="008777F7">
        <w:rPr>
          <w:lang w:val="en-US" w:eastAsia="zh-CN"/>
        </w:rPr>
        <w:t xml:space="preserve">CCM/MSP/2024/WP.1), to </w:t>
      </w:r>
      <w:r w:rsidRPr="008777F7">
        <w:rPr>
          <w:lang w:eastAsia="zh-CN"/>
        </w:rPr>
        <w:t xml:space="preserve">appoint a dedicated coordinator for risk education within the CCM machinery to enhance the overall effectiveness of efforts to </w:t>
      </w:r>
      <w:r w:rsidRPr="008777F7">
        <w:rPr>
          <w:lang w:eastAsia="zh-CN"/>
        </w:rPr>
        <w:lastRenderedPageBreak/>
        <w:t xml:space="preserve">address the issue and facilitate effective monitoring of the indicators outlined in the </w:t>
      </w:r>
      <w:r w:rsidR="603EDFD4" w:rsidRPr="008777F7">
        <w:rPr>
          <w:lang w:eastAsia="zh-CN"/>
        </w:rPr>
        <w:t>Lausanne Action Plan</w:t>
      </w:r>
      <w:r w:rsidRPr="008777F7">
        <w:rPr>
          <w:lang w:eastAsia="zh-CN"/>
        </w:rPr>
        <w:t xml:space="preserve"> , and to introduce a separate agenda item on risk education (separated from clearance) in the agenda of the Meetings of States Parties to the Convention</w:t>
      </w:r>
      <w:r w:rsidR="2CDCD9D9" w:rsidRPr="008777F7">
        <w:rPr>
          <w:lang w:eastAsia="zh-CN"/>
        </w:rPr>
        <w:t>.</w:t>
      </w:r>
    </w:p>
    <w:p w14:paraId="3F3ADC1E" w14:textId="7B624F2B" w:rsidR="00210F02" w:rsidRPr="003E5091" w:rsidRDefault="3DFDC2BE" w:rsidP="00CD1A11">
      <w:pPr>
        <w:pStyle w:val="ParNoG"/>
        <w:rPr>
          <w:lang w:val="en-US" w:eastAsia="zh-CN"/>
        </w:rPr>
      </w:pPr>
      <w:r w:rsidRPr="008777F7">
        <w:rPr>
          <w:lang w:val="en-US" w:eastAsia="zh-CN"/>
        </w:rPr>
        <w:t xml:space="preserve">The Meeting expressed appreciation for the work of Norway and Italy, Coordinators on </w:t>
      </w:r>
      <w:r w:rsidR="4A1EBA17" w:rsidRPr="008777F7">
        <w:rPr>
          <w:lang w:val="en-US" w:eastAsia="zh-CN"/>
        </w:rPr>
        <w:t>c</w:t>
      </w:r>
      <w:r w:rsidRPr="008777F7">
        <w:rPr>
          <w:lang w:val="en-US" w:eastAsia="zh-CN"/>
        </w:rPr>
        <w:t>learance and destruction of cluster munition remnants and risk reduction education and welcomed</w:t>
      </w:r>
      <w:r w:rsidRPr="3E56B61F">
        <w:rPr>
          <w:lang w:val="en-US" w:eastAsia="zh-CN"/>
        </w:rPr>
        <w:t xml:space="preserve"> their efforts in advancing implementation of th</w:t>
      </w:r>
      <w:r w:rsidR="77C2D837" w:rsidRPr="3E56B61F">
        <w:rPr>
          <w:lang w:val="en-US" w:eastAsia="zh-CN"/>
        </w:rPr>
        <w:t>ese</w:t>
      </w:r>
      <w:r w:rsidRPr="3E56B61F">
        <w:rPr>
          <w:lang w:val="en-US" w:eastAsia="zh-CN"/>
        </w:rPr>
        <w:t xml:space="preserve"> obligation</w:t>
      </w:r>
      <w:r w:rsidR="77C2D837" w:rsidRPr="3E56B61F">
        <w:rPr>
          <w:lang w:val="en-US" w:eastAsia="zh-CN"/>
        </w:rPr>
        <w:t>s</w:t>
      </w:r>
      <w:r w:rsidRPr="3E56B61F">
        <w:rPr>
          <w:lang w:val="en-US" w:eastAsia="zh-CN"/>
        </w:rPr>
        <w:t xml:space="preserve">. </w:t>
      </w:r>
    </w:p>
    <w:p w14:paraId="2949DFB5" w14:textId="3DA79BB2" w:rsidR="00624D0D" w:rsidRDefault="00624D0D" w:rsidP="00CD1A11">
      <w:pPr>
        <w:pStyle w:val="ParNoG"/>
        <w:rPr>
          <w:lang w:eastAsia="zh-CN"/>
        </w:rPr>
      </w:pPr>
      <w:proofErr w:type="gramStart"/>
      <w:r w:rsidRPr="0097769F">
        <w:rPr>
          <w:lang w:eastAsia="zh-CN"/>
        </w:rPr>
        <w:t>Also</w:t>
      </w:r>
      <w:proofErr w:type="gramEnd"/>
      <w:r w:rsidRPr="0097769F">
        <w:rPr>
          <w:lang w:eastAsia="zh-CN"/>
        </w:rPr>
        <w:t xml:space="preserve"> in the context of its consideration of the operation and status of the Convention, </w:t>
      </w:r>
      <w:r w:rsidRPr="00624D0D">
        <w:rPr>
          <w:lang w:val="en-US" w:eastAsia="zh-CN"/>
        </w:rPr>
        <w:t>the Meeting</w:t>
      </w:r>
      <w:r w:rsidRPr="00775674">
        <w:rPr>
          <w:lang w:val="en-US" w:eastAsia="zh-CN"/>
        </w:rPr>
        <w:t xml:space="preserve"> </w:t>
      </w:r>
      <w:r>
        <w:rPr>
          <w:lang w:val="en-US" w:eastAsia="zh-CN"/>
        </w:rPr>
        <w:t>r</w:t>
      </w:r>
      <w:r w:rsidRPr="00775674">
        <w:rPr>
          <w:lang w:val="en-US" w:eastAsia="zh-CN"/>
        </w:rPr>
        <w:t>eiterat</w:t>
      </w:r>
      <w:r w:rsidR="00074104">
        <w:rPr>
          <w:lang w:val="en-US" w:eastAsia="zh-CN"/>
        </w:rPr>
        <w:t xml:space="preserve">ed </w:t>
      </w:r>
      <w:r w:rsidRPr="00775674">
        <w:rPr>
          <w:lang w:val="en-US" w:eastAsia="zh-CN"/>
        </w:rPr>
        <w:t>that assistance to victims, their families and communities is a key factor in the implementation of the Convention</w:t>
      </w:r>
      <w:r w:rsidR="00074104">
        <w:rPr>
          <w:lang w:val="en-US" w:eastAsia="zh-CN"/>
        </w:rPr>
        <w:t xml:space="preserve"> and a </w:t>
      </w:r>
      <w:r>
        <w:rPr>
          <w:lang w:eastAsia="zh-CN"/>
        </w:rPr>
        <w:t xml:space="preserve">long-term </w:t>
      </w:r>
      <w:r w:rsidR="00074104">
        <w:rPr>
          <w:lang w:eastAsia="zh-CN"/>
        </w:rPr>
        <w:t>commitment</w:t>
      </w:r>
      <w:r w:rsidR="00FD1A01">
        <w:rPr>
          <w:lang w:eastAsia="zh-CN"/>
        </w:rPr>
        <w:t xml:space="preserve"> to t</w:t>
      </w:r>
      <w:r w:rsidRPr="00693144">
        <w:rPr>
          <w:lang w:eastAsia="zh-CN"/>
        </w:rPr>
        <w:t xml:space="preserve">he full and equal inclusion of survivors and victims. </w:t>
      </w:r>
    </w:p>
    <w:p w14:paraId="442F04EF" w14:textId="108F5391" w:rsidR="00D83420" w:rsidRDefault="00624D0D" w:rsidP="00CD1A11">
      <w:pPr>
        <w:pStyle w:val="ParNoG"/>
        <w:rPr>
          <w:lang w:val="en-US" w:eastAsia="zh-CN"/>
        </w:rPr>
      </w:pPr>
      <w:bookmarkStart w:id="19" w:name="_Hlk177037739"/>
      <w:r w:rsidRPr="003E5091">
        <w:rPr>
          <w:lang w:val="en-US" w:eastAsia="zh-CN"/>
        </w:rPr>
        <w:t xml:space="preserve">The Meeting expressed appreciation for the work of </w:t>
      </w:r>
      <w:r w:rsidR="00FD1A01">
        <w:rPr>
          <w:lang w:val="en-US" w:eastAsia="zh-CN"/>
        </w:rPr>
        <w:t>Austria</w:t>
      </w:r>
      <w:r w:rsidRPr="00624D0D">
        <w:rPr>
          <w:lang w:val="en-US" w:eastAsia="zh-CN"/>
        </w:rPr>
        <w:t xml:space="preserve"> and </w:t>
      </w:r>
      <w:r w:rsidR="00FD1A01">
        <w:rPr>
          <w:lang w:val="en-US" w:eastAsia="zh-CN"/>
        </w:rPr>
        <w:t>Panama</w:t>
      </w:r>
      <w:r w:rsidRPr="003E5091">
        <w:rPr>
          <w:lang w:val="en-US" w:eastAsia="zh-CN"/>
        </w:rPr>
        <w:t xml:space="preserve">, Coordinators on </w:t>
      </w:r>
      <w:bookmarkEnd w:id="19"/>
      <w:r w:rsidR="00FD1A01">
        <w:rPr>
          <w:lang w:val="en-US" w:eastAsia="zh-CN"/>
        </w:rPr>
        <w:t xml:space="preserve">Victim Assistance </w:t>
      </w:r>
      <w:r w:rsidRPr="003E5091">
        <w:rPr>
          <w:lang w:val="en-US" w:eastAsia="zh-CN"/>
        </w:rPr>
        <w:t>and welcomed their efforts in advancing implementation of th</w:t>
      </w:r>
      <w:r w:rsidRPr="00624D0D">
        <w:rPr>
          <w:lang w:val="en-US" w:eastAsia="zh-CN"/>
        </w:rPr>
        <w:t>ese</w:t>
      </w:r>
      <w:r w:rsidRPr="003E5091">
        <w:rPr>
          <w:lang w:val="en-US" w:eastAsia="zh-CN"/>
        </w:rPr>
        <w:t xml:space="preserve"> obligation</w:t>
      </w:r>
      <w:r w:rsidRPr="00624D0D">
        <w:rPr>
          <w:lang w:val="en-US" w:eastAsia="zh-CN"/>
        </w:rPr>
        <w:t>s</w:t>
      </w:r>
      <w:r w:rsidRPr="003E5091">
        <w:rPr>
          <w:lang w:val="en-US" w:eastAsia="zh-CN"/>
        </w:rPr>
        <w:t xml:space="preserve">. </w:t>
      </w:r>
    </w:p>
    <w:p w14:paraId="6C66CA7A" w14:textId="0DE2FF60" w:rsidR="000B3BD1" w:rsidRDefault="14D63C62" w:rsidP="00CD1A11">
      <w:pPr>
        <w:pStyle w:val="ParNoG"/>
        <w:rPr>
          <w:lang w:val="en-US" w:eastAsia="zh-CN"/>
        </w:rPr>
      </w:pPr>
      <w:proofErr w:type="gramStart"/>
      <w:r w:rsidRPr="3E56B61F">
        <w:rPr>
          <w:lang w:eastAsia="zh-CN"/>
        </w:rPr>
        <w:t>Also</w:t>
      </w:r>
      <w:proofErr w:type="gramEnd"/>
      <w:r w:rsidRPr="3E56B61F">
        <w:rPr>
          <w:lang w:eastAsia="zh-CN"/>
        </w:rPr>
        <w:t xml:space="preserve"> in the context of its consideration of the operation and status of the Convention, </w:t>
      </w:r>
      <w:r w:rsidRPr="3E56B61F">
        <w:rPr>
          <w:lang w:val="en-US" w:eastAsia="zh-CN"/>
        </w:rPr>
        <w:t>the Meeting stressed the importance of international cooperation and assistance in providing support</w:t>
      </w:r>
      <w:r w:rsidR="003D3736" w:rsidRPr="3E56B61F">
        <w:rPr>
          <w:lang w:val="en-US" w:eastAsia="zh-CN"/>
        </w:rPr>
        <w:t xml:space="preserve"> and facilitating </w:t>
      </w:r>
      <w:r w:rsidRPr="3E56B61F">
        <w:rPr>
          <w:lang w:val="en-US" w:eastAsia="zh-CN"/>
        </w:rPr>
        <w:t>the implementation of the Convention</w:t>
      </w:r>
      <w:r w:rsidR="094D6CED" w:rsidRPr="3E56B61F">
        <w:rPr>
          <w:lang w:val="en-US" w:eastAsia="zh-CN"/>
        </w:rPr>
        <w:t>.</w:t>
      </w:r>
      <w:r w:rsidRPr="3E56B61F">
        <w:rPr>
          <w:lang w:val="en-US" w:eastAsia="zh-CN"/>
        </w:rPr>
        <w:t xml:space="preserve"> </w:t>
      </w:r>
    </w:p>
    <w:p w14:paraId="7FD6D7FF" w14:textId="017F271E" w:rsidR="003A0CE4" w:rsidRPr="003A0CE4" w:rsidRDefault="003D3736" w:rsidP="00CD1A11">
      <w:pPr>
        <w:pStyle w:val="ParNoG"/>
        <w:rPr>
          <w:lang w:val="en-US" w:eastAsia="zh-CN"/>
        </w:rPr>
      </w:pPr>
      <w:bookmarkStart w:id="20" w:name="_Hlk177038068"/>
      <w:r w:rsidRPr="3E56B61F">
        <w:rPr>
          <w:lang w:val="en-US" w:eastAsia="zh-CN"/>
        </w:rPr>
        <w:t xml:space="preserve">The Meeting expressed appreciation for the work of </w:t>
      </w:r>
      <w:r w:rsidR="14224434" w:rsidRPr="3E56B61F">
        <w:rPr>
          <w:lang w:val="en-US" w:eastAsia="zh-CN"/>
        </w:rPr>
        <w:t>Lebanon and Switzerland</w:t>
      </w:r>
      <w:r w:rsidRPr="3E56B61F">
        <w:rPr>
          <w:lang w:val="en-US" w:eastAsia="zh-CN"/>
        </w:rPr>
        <w:t xml:space="preserve">, Coordinators on </w:t>
      </w:r>
      <w:r w:rsidR="094D6CED" w:rsidRPr="3E56B61F">
        <w:rPr>
          <w:lang w:eastAsia="zh-CN"/>
        </w:rPr>
        <w:t>c</w:t>
      </w:r>
      <w:r w:rsidR="14224434" w:rsidRPr="3E56B61F">
        <w:rPr>
          <w:lang w:eastAsia="zh-CN"/>
        </w:rPr>
        <w:t xml:space="preserve">ooperation and </w:t>
      </w:r>
      <w:r w:rsidR="094D6CED" w:rsidRPr="3E56B61F">
        <w:rPr>
          <w:lang w:eastAsia="zh-CN"/>
        </w:rPr>
        <w:t>a</w:t>
      </w:r>
      <w:r w:rsidR="14224434" w:rsidRPr="3E56B61F">
        <w:rPr>
          <w:lang w:eastAsia="zh-CN"/>
        </w:rPr>
        <w:t>ssistance</w:t>
      </w:r>
      <w:r w:rsidR="14224434" w:rsidRPr="3E56B61F">
        <w:rPr>
          <w:lang w:val="en-US" w:eastAsia="zh-CN"/>
        </w:rPr>
        <w:t xml:space="preserve"> and welcomed their efforts in advancing implementation of these obligations. </w:t>
      </w:r>
    </w:p>
    <w:bookmarkEnd w:id="20"/>
    <w:p w14:paraId="263D640E" w14:textId="40B76729" w:rsidR="00391525" w:rsidRDefault="003A0CE4" w:rsidP="00CD1A11">
      <w:pPr>
        <w:pStyle w:val="ParNoG"/>
        <w:rPr>
          <w:lang w:val="en-US" w:eastAsia="zh-CN"/>
        </w:rPr>
      </w:pPr>
      <w:proofErr w:type="gramStart"/>
      <w:r w:rsidRPr="0097769F">
        <w:rPr>
          <w:lang w:eastAsia="zh-CN"/>
        </w:rPr>
        <w:t>Also</w:t>
      </w:r>
      <w:proofErr w:type="gramEnd"/>
      <w:r w:rsidRPr="0097769F">
        <w:rPr>
          <w:lang w:eastAsia="zh-CN"/>
        </w:rPr>
        <w:t xml:space="preserve"> in the context of its consideration of the operation and status of the Convention, </w:t>
      </w:r>
      <w:r w:rsidRPr="003A0CE4">
        <w:rPr>
          <w:lang w:val="en-US" w:eastAsia="zh-CN"/>
        </w:rPr>
        <w:t xml:space="preserve">the Meeting </w:t>
      </w:r>
      <w:r w:rsidR="00644F88">
        <w:rPr>
          <w:lang w:val="en-US" w:eastAsia="zh-CN"/>
        </w:rPr>
        <w:t>stressed</w:t>
      </w:r>
      <w:r w:rsidRPr="00775674">
        <w:rPr>
          <w:lang w:val="en-US" w:eastAsia="zh-CN"/>
        </w:rPr>
        <w:t xml:space="preserve"> the importance of transparency measures</w:t>
      </w:r>
      <w:r w:rsidR="00391525">
        <w:rPr>
          <w:lang w:val="en-US" w:eastAsia="zh-CN"/>
        </w:rPr>
        <w:t xml:space="preserve"> and r</w:t>
      </w:r>
      <w:r w:rsidR="00391525" w:rsidRPr="00775674">
        <w:rPr>
          <w:lang w:val="en-US" w:eastAsia="zh-CN"/>
        </w:rPr>
        <w:t>eiterat</w:t>
      </w:r>
      <w:r w:rsidR="00391525">
        <w:rPr>
          <w:lang w:val="en-US" w:eastAsia="zh-CN"/>
        </w:rPr>
        <w:t>ed</w:t>
      </w:r>
      <w:r w:rsidR="00391525" w:rsidRPr="00775674">
        <w:rPr>
          <w:lang w:val="en-US" w:eastAsia="zh-CN"/>
        </w:rPr>
        <w:t xml:space="preserve"> that initial and annual national reporting is a critical obligation under Article 7 of the Convention in its role as a key instrument of measuring implementation. </w:t>
      </w:r>
      <w:r w:rsidR="002357F3">
        <w:rPr>
          <w:lang w:val="en-US" w:eastAsia="zh-CN"/>
        </w:rPr>
        <w:t>In this context t</w:t>
      </w:r>
      <w:r w:rsidR="00391525" w:rsidRPr="00775674">
        <w:rPr>
          <w:lang w:val="en-US" w:eastAsia="zh-CN"/>
        </w:rPr>
        <w:t xml:space="preserve">he Meeting </w:t>
      </w:r>
      <w:r w:rsidR="00391525" w:rsidRPr="00775674">
        <w:t xml:space="preserve">noted </w:t>
      </w:r>
      <w:r w:rsidR="002357F3">
        <w:t xml:space="preserve">with regret </w:t>
      </w:r>
      <w:r w:rsidR="00391525" w:rsidRPr="00775674">
        <w:t xml:space="preserve">that </w:t>
      </w:r>
      <w:r w:rsidR="00391525" w:rsidRPr="000C7D8B">
        <w:t>reporting rates</w:t>
      </w:r>
      <w:r w:rsidR="00391525" w:rsidRPr="00775674">
        <w:t xml:space="preserve"> have fallen </w:t>
      </w:r>
      <w:r w:rsidR="00391525" w:rsidRPr="00775674">
        <w:rPr>
          <w:lang w:val="en-US" w:eastAsia="zh-CN"/>
        </w:rPr>
        <w:t>in 202</w:t>
      </w:r>
      <w:r w:rsidR="00391525">
        <w:rPr>
          <w:lang w:val="en-US" w:eastAsia="zh-CN"/>
        </w:rPr>
        <w:t>4</w:t>
      </w:r>
      <w:r w:rsidR="00434487">
        <w:rPr>
          <w:lang w:val="en-US" w:eastAsia="zh-CN"/>
        </w:rPr>
        <w:t xml:space="preserve"> and called upon all States parties to fulfill their article 7 obligations.</w:t>
      </w:r>
      <w:r w:rsidR="00391525" w:rsidRPr="00775674">
        <w:rPr>
          <w:lang w:val="en-US" w:eastAsia="zh-CN"/>
        </w:rPr>
        <w:t xml:space="preserve"> </w:t>
      </w:r>
      <w:r w:rsidR="00434487" w:rsidRPr="00775674">
        <w:rPr>
          <w:lang w:val="en-US" w:eastAsia="zh-CN"/>
        </w:rPr>
        <w:t xml:space="preserve">The Meeting also </w:t>
      </w:r>
      <w:r w:rsidR="00434487">
        <w:rPr>
          <w:lang w:val="en-US" w:eastAsia="zh-CN"/>
        </w:rPr>
        <w:t xml:space="preserve">called </w:t>
      </w:r>
      <w:r w:rsidR="00F22F21">
        <w:rPr>
          <w:lang w:val="en-US" w:eastAsia="zh-CN"/>
        </w:rPr>
        <w:t xml:space="preserve">on all States parties to make use of </w:t>
      </w:r>
      <w:r w:rsidR="00434487" w:rsidRPr="00775674">
        <w:rPr>
          <w:lang w:val="en-US" w:eastAsia="zh-CN"/>
        </w:rPr>
        <w:t>the new reporting forms</w:t>
      </w:r>
      <w:r w:rsidR="004B23E3">
        <w:rPr>
          <w:lang w:val="en-US" w:eastAsia="zh-CN"/>
        </w:rPr>
        <w:t>, including Form J,</w:t>
      </w:r>
      <w:r w:rsidR="00F22F21">
        <w:rPr>
          <w:rStyle w:val="FootnoteReference"/>
          <w:rFonts w:eastAsia="Calibri" w:cstheme="majorBidi"/>
          <w:lang w:eastAsia="zh-CN"/>
        </w:rPr>
        <w:footnoteReference w:id="10"/>
      </w:r>
      <w:r w:rsidR="00434487" w:rsidRPr="00775674">
        <w:rPr>
          <w:lang w:val="en-US" w:eastAsia="zh-CN"/>
        </w:rPr>
        <w:t xml:space="preserve"> as </w:t>
      </w:r>
      <w:r w:rsidR="00F22F21">
        <w:rPr>
          <w:lang w:val="en-US" w:eastAsia="zh-CN"/>
        </w:rPr>
        <w:t>adopted by the Eleventh Meeting of States Parties</w:t>
      </w:r>
      <w:r w:rsidR="00434487" w:rsidRPr="00775674">
        <w:rPr>
          <w:lang w:val="en-US" w:eastAsia="zh-CN"/>
        </w:rPr>
        <w:t>.</w:t>
      </w:r>
    </w:p>
    <w:p w14:paraId="07F0E499" w14:textId="33A35CCE" w:rsidR="00F22F21" w:rsidRPr="00F22F21" w:rsidRDefault="00F22F21" w:rsidP="00CD1A11">
      <w:pPr>
        <w:pStyle w:val="ParNoG"/>
        <w:rPr>
          <w:lang w:val="en-US" w:eastAsia="zh-CN"/>
        </w:rPr>
      </w:pPr>
      <w:r w:rsidRPr="00F22F21">
        <w:rPr>
          <w:lang w:val="en-US" w:eastAsia="zh-CN"/>
        </w:rPr>
        <w:t xml:space="preserve">The Meeting expressed appreciation for the work of </w:t>
      </w:r>
      <w:r w:rsidR="00A40622">
        <w:rPr>
          <w:lang w:val="en-US" w:eastAsia="zh-CN"/>
        </w:rPr>
        <w:t>Australia</w:t>
      </w:r>
      <w:r w:rsidRPr="00F22F21">
        <w:rPr>
          <w:lang w:val="en-US" w:eastAsia="zh-CN"/>
        </w:rPr>
        <w:t xml:space="preserve">, Coordinator </w:t>
      </w:r>
      <w:r w:rsidR="00533047">
        <w:rPr>
          <w:lang w:val="en-US" w:eastAsia="zh-CN"/>
        </w:rPr>
        <w:t xml:space="preserve">on </w:t>
      </w:r>
      <w:r w:rsidR="00E020E0">
        <w:rPr>
          <w:lang w:val="en-US" w:eastAsia="zh-CN"/>
        </w:rPr>
        <w:t>Transparency</w:t>
      </w:r>
      <w:r w:rsidR="00A40622">
        <w:rPr>
          <w:lang w:val="en-US" w:eastAsia="zh-CN"/>
        </w:rPr>
        <w:t xml:space="preserve"> Measures</w:t>
      </w:r>
      <w:r w:rsidRPr="00F22F21">
        <w:rPr>
          <w:lang w:val="en-US" w:eastAsia="zh-CN"/>
        </w:rPr>
        <w:t xml:space="preserve"> and welcomed </w:t>
      </w:r>
      <w:r w:rsidR="00A40622">
        <w:rPr>
          <w:lang w:val="en-US" w:eastAsia="zh-CN"/>
        </w:rPr>
        <w:t>its</w:t>
      </w:r>
      <w:r w:rsidRPr="00F22F21">
        <w:rPr>
          <w:lang w:val="en-US" w:eastAsia="zh-CN"/>
        </w:rPr>
        <w:t xml:space="preserve"> efforts in advancing implementation of these obligations. </w:t>
      </w:r>
    </w:p>
    <w:p w14:paraId="09775960" w14:textId="1D2449E9" w:rsidR="00533047" w:rsidRDefault="007F5CC1" w:rsidP="00CD1A11">
      <w:pPr>
        <w:pStyle w:val="ParNoG"/>
        <w:rPr>
          <w:lang w:val="en-US" w:eastAsia="zh-CN"/>
        </w:rPr>
      </w:pPr>
      <w:proofErr w:type="gramStart"/>
      <w:r w:rsidRPr="007F5CC1">
        <w:rPr>
          <w:lang w:eastAsia="zh-CN"/>
        </w:rPr>
        <w:t>Also</w:t>
      </w:r>
      <w:proofErr w:type="gramEnd"/>
      <w:r w:rsidRPr="007F5CC1">
        <w:rPr>
          <w:lang w:eastAsia="zh-CN"/>
        </w:rPr>
        <w:t xml:space="preserve"> in the context of its consideration of the operation and status of the Convention, </w:t>
      </w:r>
      <w:r w:rsidRPr="007F5CC1">
        <w:rPr>
          <w:lang w:val="en-US" w:eastAsia="zh-CN"/>
        </w:rPr>
        <w:t xml:space="preserve">the Meeting </w:t>
      </w:r>
      <w:r w:rsidR="00533047">
        <w:rPr>
          <w:lang w:val="en-US" w:eastAsia="zh-CN"/>
        </w:rPr>
        <w:t xml:space="preserve">reiterated </w:t>
      </w:r>
      <w:r w:rsidR="00D74184" w:rsidRPr="00775674">
        <w:rPr>
          <w:lang w:val="en-US" w:eastAsia="zh-CN"/>
        </w:rPr>
        <w:t>the importance of compliance with the provisions of Article 9 of the Convention</w:t>
      </w:r>
      <w:r w:rsidR="00624DB3">
        <w:rPr>
          <w:lang w:val="en-US" w:eastAsia="zh-CN"/>
        </w:rPr>
        <w:t>.</w:t>
      </w:r>
      <w:r w:rsidR="00D74184" w:rsidRPr="00775674">
        <w:rPr>
          <w:lang w:val="en-US" w:eastAsia="zh-CN"/>
        </w:rPr>
        <w:t xml:space="preserve"> </w:t>
      </w:r>
    </w:p>
    <w:p w14:paraId="32F0E347" w14:textId="748F1B34" w:rsidR="00533047" w:rsidRPr="00533047" w:rsidRDefault="00533047" w:rsidP="00CD1A11">
      <w:pPr>
        <w:pStyle w:val="ParNoG"/>
        <w:rPr>
          <w:lang w:val="en-US" w:eastAsia="zh-CN"/>
        </w:rPr>
      </w:pPr>
      <w:r w:rsidRPr="00533047">
        <w:rPr>
          <w:lang w:val="en-US" w:eastAsia="zh-CN"/>
        </w:rPr>
        <w:t xml:space="preserve">The Meeting expressed appreciation for the work of </w:t>
      </w:r>
      <w:r>
        <w:rPr>
          <w:lang w:val="en-US" w:eastAsia="zh-CN"/>
        </w:rPr>
        <w:t>Iraq</w:t>
      </w:r>
      <w:r w:rsidRPr="00533047">
        <w:rPr>
          <w:lang w:val="en-US" w:eastAsia="zh-CN"/>
        </w:rPr>
        <w:t xml:space="preserve">, Coordinator </w:t>
      </w:r>
      <w:r w:rsidR="0012731B">
        <w:rPr>
          <w:lang w:val="en-US" w:eastAsia="zh-CN"/>
        </w:rPr>
        <w:t xml:space="preserve">on </w:t>
      </w:r>
      <w:r w:rsidR="0012731B" w:rsidRPr="0012731B">
        <w:rPr>
          <w:lang w:eastAsia="zh-CN"/>
        </w:rPr>
        <w:t xml:space="preserve">National Implementation </w:t>
      </w:r>
      <w:r w:rsidRPr="00533047">
        <w:rPr>
          <w:lang w:val="en-US" w:eastAsia="zh-CN"/>
        </w:rPr>
        <w:t xml:space="preserve">Measures and welcomed its efforts in advancing implementation of these obligations. </w:t>
      </w:r>
    </w:p>
    <w:p w14:paraId="4DED44E4" w14:textId="75499631" w:rsidR="00D74184" w:rsidRDefault="0742593B" w:rsidP="00CD1A11">
      <w:pPr>
        <w:pStyle w:val="ParNoG"/>
        <w:rPr>
          <w:lang w:val="en-US" w:eastAsia="zh-CN"/>
        </w:rPr>
      </w:pPr>
      <w:r w:rsidRPr="3E56B61F">
        <w:rPr>
          <w:lang w:val="en-US" w:eastAsia="zh-CN"/>
        </w:rPr>
        <w:t>The Meeting expressed its  appreciation to the Coordinators on the General Status and Operation of the Convention, Belgium</w:t>
      </w:r>
      <w:r w:rsidR="2ACC53D1" w:rsidRPr="3E56B61F">
        <w:rPr>
          <w:lang w:val="en-US" w:eastAsia="zh-CN"/>
        </w:rPr>
        <w:t xml:space="preserve"> and Germany</w:t>
      </w:r>
      <w:r w:rsidRPr="3E56B61F">
        <w:rPr>
          <w:lang w:val="en-US" w:eastAsia="zh-CN"/>
        </w:rPr>
        <w:t>, for their important work in this regard, as well as in fulfilling their role as focal points of the Convention to provide advice on Gender Mainstreaming and ensuring that matters related to gender and the diverse needs and experiences of people in affected communities are considered in the implementation of the Lausanne Action Plan  in cooperation with the other thematic coordinators</w:t>
      </w:r>
      <w:r w:rsidR="239186ED" w:rsidRPr="3E56B61F">
        <w:rPr>
          <w:lang w:val="en-US" w:eastAsia="zh-CN"/>
        </w:rPr>
        <w:t>.</w:t>
      </w:r>
      <w:r w:rsidR="10B11034" w:rsidRPr="3E56B61F">
        <w:rPr>
          <w:lang w:eastAsia="zh-CN"/>
        </w:rPr>
        <w:t xml:space="preserve"> </w:t>
      </w:r>
      <w:r w:rsidR="3E08FF8B" w:rsidRPr="3E56B61F">
        <w:rPr>
          <w:lang w:eastAsia="zh-CN"/>
        </w:rPr>
        <w:t>T</w:t>
      </w:r>
      <w:r w:rsidR="10B11034" w:rsidRPr="3E56B61F">
        <w:rPr>
          <w:lang w:val="en-US" w:eastAsia="zh-CN"/>
        </w:rPr>
        <w:t>he</w:t>
      </w:r>
      <w:r w:rsidR="5DCE7F66" w:rsidRPr="3E56B61F">
        <w:rPr>
          <w:lang w:val="en-US" w:eastAsia="zh-CN"/>
        </w:rPr>
        <w:t xml:space="preserve"> document</w:t>
      </w:r>
      <w:r w:rsidR="10B11034" w:rsidRPr="3E56B61F">
        <w:rPr>
          <w:lang w:val="en-US" w:eastAsia="zh-CN"/>
        </w:rPr>
        <w:t xml:space="preserve"> </w:t>
      </w:r>
      <w:r w:rsidR="2F6A9630" w:rsidRPr="3E56B61F">
        <w:rPr>
          <w:lang w:eastAsia="zh-CN"/>
        </w:rPr>
        <w:t xml:space="preserve">CCM/MSP/2024/WP.2 was presented by the </w:t>
      </w:r>
      <w:proofErr w:type="gramStart"/>
      <w:r w:rsidR="2F6A9630" w:rsidRPr="3E56B61F">
        <w:rPr>
          <w:lang w:eastAsia="zh-CN"/>
        </w:rPr>
        <w:t xml:space="preserve">Coordinators </w:t>
      </w:r>
      <w:r w:rsidR="10B11034" w:rsidRPr="3E56B61F">
        <w:rPr>
          <w:lang w:eastAsia="zh-CN"/>
        </w:rPr>
        <w:t>.</w:t>
      </w:r>
      <w:proofErr w:type="gramEnd"/>
    </w:p>
    <w:p w14:paraId="1F5E2383" w14:textId="3BAE16D6" w:rsidR="005921B3" w:rsidRPr="00775674" w:rsidRDefault="005E1E69" w:rsidP="00CD1A11">
      <w:pPr>
        <w:pStyle w:val="ParNoG"/>
        <w:rPr>
          <w:lang w:val="en-US" w:eastAsia="zh-CN"/>
        </w:rPr>
      </w:pPr>
      <w:proofErr w:type="gramStart"/>
      <w:r w:rsidRPr="0097769F">
        <w:rPr>
          <w:lang w:eastAsia="zh-CN"/>
        </w:rPr>
        <w:t>Also</w:t>
      </w:r>
      <w:proofErr w:type="gramEnd"/>
      <w:r w:rsidRPr="0097769F">
        <w:rPr>
          <w:lang w:eastAsia="zh-CN"/>
        </w:rPr>
        <w:t xml:space="preserve"> in the context of its consideration of the operation and status of the Convention, </w:t>
      </w:r>
      <w:r w:rsidRPr="005E1E69">
        <w:rPr>
          <w:lang w:val="en-US" w:eastAsia="zh-CN"/>
        </w:rPr>
        <w:t xml:space="preserve">the Meeting expressed </w:t>
      </w:r>
      <w:r w:rsidR="00DA1404">
        <w:rPr>
          <w:lang w:val="en-US" w:eastAsia="zh-CN"/>
        </w:rPr>
        <w:t xml:space="preserve">deep </w:t>
      </w:r>
      <w:r w:rsidRPr="005E1E69">
        <w:rPr>
          <w:lang w:val="en-US" w:eastAsia="zh-CN"/>
        </w:rPr>
        <w:t xml:space="preserve">appreciation to </w:t>
      </w:r>
      <w:r w:rsidR="0018151B">
        <w:rPr>
          <w:lang w:val="en-US" w:eastAsia="zh-CN"/>
        </w:rPr>
        <w:t xml:space="preserve">the </w:t>
      </w:r>
      <w:r w:rsidR="00C07F9E">
        <w:rPr>
          <w:lang w:val="en-US" w:eastAsia="zh-CN"/>
        </w:rPr>
        <w:t>Director</w:t>
      </w:r>
      <w:r w:rsidR="00DA1404">
        <w:rPr>
          <w:lang w:val="en-US" w:eastAsia="zh-CN"/>
        </w:rPr>
        <w:t xml:space="preserve"> and the staff </w:t>
      </w:r>
      <w:r w:rsidR="00C07F9E">
        <w:rPr>
          <w:lang w:val="en-US" w:eastAsia="zh-CN"/>
        </w:rPr>
        <w:t>of the Implementation Support Unit</w:t>
      </w:r>
      <w:r w:rsidR="00F34CD0">
        <w:rPr>
          <w:lang w:val="en-US" w:eastAsia="zh-CN"/>
        </w:rPr>
        <w:t xml:space="preserve"> for their </w:t>
      </w:r>
      <w:r w:rsidR="00F35804">
        <w:rPr>
          <w:lang w:val="en-US" w:eastAsia="zh-CN"/>
        </w:rPr>
        <w:t>work in support of the Convention</w:t>
      </w:r>
      <w:r w:rsidR="00BF77BF">
        <w:rPr>
          <w:lang w:val="en-US" w:eastAsia="zh-CN"/>
        </w:rPr>
        <w:t xml:space="preserve">. The Meeting </w:t>
      </w:r>
      <w:r w:rsidR="00332C45" w:rsidRPr="00775674">
        <w:rPr>
          <w:lang w:val="en-US" w:eastAsia="zh-CN"/>
        </w:rPr>
        <w:t xml:space="preserve">approved </w:t>
      </w:r>
      <w:r w:rsidR="00332C45">
        <w:rPr>
          <w:lang w:val="en-US" w:eastAsia="zh-CN"/>
        </w:rPr>
        <w:t>the ISU</w:t>
      </w:r>
      <w:r w:rsidR="002500F8">
        <w:rPr>
          <w:lang w:val="en-US" w:eastAsia="zh-CN"/>
        </w:rPr>
        <w:t xml:space="preserve"> </w:t>
      </w:r>
      <w:r w:rsidR="00F15DCC" w:rsidRPr="00775674">
        <w:rPr>
          <w:lang w:val="en-US" w:eastAsia="zh-CN"/>
        </w:rPr>
        <w:t>workplan and budget for 202</w:t>
      </w:r>
      <w:r w:rsidR="00332C45">
        <w:rPr>
          <w:lang w:val="en-US" w:eastAsia="zh-CN"/>
        </w:rPr>
        <w:t>5</w:t>
      </w:r>
      <w:r w:rsidR="00F15DCC" w:rsidRPr="00775674">
        <w:rPr>
          <w:lang w:val="en-US" w:eastAsia="zh-CN"/>
        </w:rPr>
        <w:t xml:space="preserve"> (CCM/MSP/202</w:t>
      </w:r>
      <w:r w:rsidR="00332C45">
        <w:rPr>
          <w:lang w:val="en-US" w:eastAsia="zh-CN"/>
        </w:rPr>
        <w:t>4</w:t>
      </w:r>
      <w:r w:rsidR="00F15DCC" w:rsidRPr="00775674">
        <w:rPr>
          <w:lang w:val="en-US" w:eastAsia="zh-CN"/>
        </w:rPr>
        <w:t>/</w:t>
      </w:r>
      <w:r w:rsidR="00BF77BF">
        <w:rPr>
          <w:lang w:val="en-US" w:eastAsia="zh-CN"/>
        </w:rPr>
        <w:t>3</w:t>
      </w:r>
      <w:r w:rsidR="00F70C90">
        <w:rPr>
          <w:lang w:val="en-US" w:eastAsia="zh-CN"/>
        </w:rPr>
        <w:t>)</w:t>
      </w:r>
      <w:r w:rsidR="00F15DCC" w:rsidRPr="00775674">
        <w:rPr>
          <w:lang w:val="en-US" w:eastAsia="zh-CN"/>
        </w:rPr>
        <w:t>.</w:t>
      </w:r>
      <w:r w:rsidR="0060532D" w:rsidRPr="0060532D">
        <w:rPr>
          <w:lang w:val="en-US" w:eastAsia="zh-CN"/>
        </w:rPr>
        <w:t xml:space="preserve"> </w:t>
      </w:r>
      <w:r w:rsidR="0060532D" w:rsidRPr="00775674">
        <w:rPr>
          <w:lang w:val="en-US" w:eastAsia="zh-CN"/>
        </w:rPr>
        <w:t>The Meeting welcomed that the annual workplans had been implemented as approved.</w:t>
      </w:r>
      <w:r w:rsidR="005921B3" w:rsidRPr="005921B3">
        <w:rPr>
          <w:lang w:val="en-US" w:eastAsia="zh-CN"/>
        </w:rPr>
        <w:t xml:space="preserve"> </w:t>
      </w:r>
      <w:r w:rsidR="005921B3" w:rsidRPr="00775674">
        <w:rPr>
          <w:lang w:val="en-US" w:eastAsia="zh-CN"/>
        </w:rPr>
        <w:t>The Meeting also agreed that the 202</w:t>
      </w:r>
      <w:r w:rsidR="005921B3">
        <w:rPr>
          <w:lang w:val="en-US" w:eastAsia="zh-CN"/>
        </w:rPr>
        <w:t>6</w:t>
      </w:r>
      <w:r w:rsidR="005921B3" w:rsidRPr="00775674">
        <w:rPr>
          <w:lang w:val="en-US" w:eastAsia="zh-CN"/>
        </w:rPr>
        <w:t xml:space="preserve"> ISU budget and work plan would be submitted sixty days prior to the T</w:t>
      </w:r>
      <w:r w:rsidR="005921B3">
        <w:rPr>
          <w:lang w:val="en-US" w:eastAsia="zh-CN"/>
        </w:rPr>
        <w:t>hirteenth</w:t>
      </w:r>
      <w:r w:rsidR="005921B3" w:rsidRPr="00775674">
        <w:rPr>
          <w:lang w:val="en-US" w:eastAsia="zh-CN"/>
        </w:rPr>
        <w:t xml:space="preserve"> Meeting of States Parties and that the Director of the ISU would continue to submit reports on the work undertaken by the ISU annually.</w:t>
      </w:r>
    </w:p>
    <w:p w14:paraId="7DDC1EE1" w14:textId="6469FE22" w:rsidR="008A5635" w:rsidRDefault="3B4574B8" w:rsidP="00CD1A11">
      <w:pPr>
        <w:pStyle w:val="ParNoG"/>
        <w:rPr>
          <w:lang w:eastAsia="zh-CN"/>
        </w:rPr>
      </w:pPr>
      <w:r w:rsidRPr="3E56B61F">
        <w:rPr>
          <w:lang w:eastAsia="zh-CN"/>
        </w:rPr>
        <w:lastRenderedPageBreak/>
        <w:t>Also in the context of its consideration of the operation and status of the Convention</w:t>
      </w:r>
      <w:r w:rsidR="2A858C64" w:rsidRPr="3E56B61F">
        <w:rPr>
          <w:lang w:eastAsia="zh-CN"/>
        </w:rPr>
        <w:t xml:space="preserve"> and r</w:t>
      </w:r>
      <w:r w:rsidR="0DDF0056" w:rsidRPr="3E56B61F">
        <w:rPr>
          <w:lang w:eastAsia="zh-CN"/>
        </w:rPr>
        <w:t xml:space="preserve">ecalling that the Agreement between the States Parties to the Convention on Cluster Munitions and the Geneva International Centre for Humanitarian Demining on the Hosting of the Implementation Support Unit provides that it shall be reviewed every three years, the Meeting </w:t>
      </w:r>
      <w:r w:rsidR="3F838884" w:rsidRPr="3E56B61F">
        <w:rPr>
          <w:lang w:eastAsia="zh-CN"/>
        </w:rPr>
        <w:t xml:space="preserve">took note of the postponement of the review and </w:t>
      </w:r>
      <w:r w:rsidR="6C6A51B6" w:rsidRPr="3E56B61F">
        <w:rPr>
          <w:lang w:eastAsia="zh-CN"/>
        </w:rPr>
        <w:t>decide</w:t>
      </w:r>
      <w:r w:rsidR="13721EDB" w:rsidRPr="3E56B61F">
        <w:rPr>
          <w:lang w:eastAsia="zh-CN"/>
        </w:rPr>
        <w:t>d</w:t>
      </w:r>
      <w:r w:rsidR="6C6A51B6" w:rsidRPr="3E56B61F">
        <w:rPr>
          <w:lang w:eastAsia="zh-CN"/>
        </w:rPr>
        <w:t xml:space="preserve"> to </w:t>
      </w:r>
      <w:r w:rsidR="19122685" w:rsidRPr="3E56B61F">
        <w:rPr>
          <w:lang w:eastAsia="zh-CN"/>
        </w:rPr>
        <w:t xml:space="preserve">hold the </w:t>
      </w:r>
      <w:r w:rsidR="3E9A98B8" w:rsidRPr="3E56B61F">
        <w:rPr>
          <w:lang w:eastAsia="zh-CN"/>
        </w:rPr>
        <w:t xml:space="preserve">review </w:t>
      </w:r>
      <w:r w:rsidR="4B99CE6C" w:rsidRPr="3E56B61F">
        <w:rPr>
          <w:lang w:eastAsia="zh-CN"/>
        </w:rPr>
        <w:t xml:space="preserve">at the </w:t>
      </w:r>
      <w:r w:rsidR="1161DDF6" w:rsidRPr="3E56B61F">
        <w:rPr>
          <w:lang w:eastAsia="zh-CN"/>
        </w:rPr>
        <w:t>Thirteenth Meeting of States Parties</w:t>
      </w:r>
      <w:r w:rsidR="3F838884" w:rsidRPr="3E56B61F">
        <w:rPr>
          <w:lang w:eastAsia="zh-CN"/>
        </w:rPr>
        <w:t>.</w:t>
      </w:r>
    </w:p>
    <w:p w14:paraId="085900D3" w14:textId="7EF8004C" w:rsidR="003E3020" w:rsidRDefault="003E3020" w:rsidP="00CD1A11">
      <w:pPr>
        <w:pStyle w:val="ParNoG"/>
        <w:rPr>
          <w:lang w:val="en-US" w:eastAsia="zh-CN"/>
        </w:rPr>
      </w:pPr>
      <w:r w:rsidRPr="003E3020">
        <w:rPr>
          <w:lang w:eastAsia="zh-CN"/>
        </w:rPr>
        <w:t>Also in the context of its consideration of the operation and status of the Convention, and t</w:t>
      </w:r>
      <w:r w:rsidR="00406FCF">
        <w:rPr>
          <w:lang w:eastAsia="zh-CN"/>
        </w:rPr>
        <w:t xml:space="preserve">aking </w:t>
      </w:r>
      <w:r w:rsidRPr="003E3020">
        <w:rPr>
          <w:lang w:val="en-US" w:eastAsia="zh-CN"/>
        </w:rPr>
        <w:t>note of the substantive details of the 2023 annual report, and the proposal made by the President to debate recent challenges to the norm established by the CCM, in particular with the notification of withdrawal by Lithuania, the Meeting expressed</w:t>
      </w:r>
      <w:r w:rsidRPr="003E3020">
        <w:t xml:space="preserve"> appreciation to the ISU for convening a Stakeholder Dialogue to </w:t>
      </w:r>
      <w:r w:rsidRPr="003E3020">
        <w:rPr>
          <w:lang w:val="en-US" w:eastAsia="zh-CN"/>
        </w:rPr>
        <w:t xml:space="preserve">discuss emerging challenges to the norm prohibiting cluster munitions, and implications for wider humanitarian disarmament, peace and development goals. </w:t>
      </w:r>
    </w:p>
    <w:p w14:paraId="5B9F865A" w14:textId="6F1E7178" w:rsidR="003E3020" w:rsidRPr="003E3020" w:rsidRDefault="3A52935D" w:rsidP="00CD1A11">
      <w:pPr>
        <w:pStyle w:val="ParNoG"/>
        <w:rPr>
          <w:lang w:val="en-US" w:eastAsia="zh-CN"/>
        </w:rPr>
      </w:pPr>
      <w:r w:rsidRPr="3E56B61F">
        <w:rPr>
          <w:lang w:val="en-US" w:eastAsia="zh-CN"/>
        </w:rPr>
        <w:t xml:space="preserve">The Meeting expressed appreciation to the President of the Twelfth Meeting of States Parties for </w:t>
      </w:r>
      <w:r w:rsidR="15034937" w:rsidRPr="3E56B61F">
        <w:rPr>
          <w:lang w:val="en-US" w:eastAsia="zh-CN"/>
        </w:rPr>
        <w:t xml:space="preserve">presenting </w:t>
      </w:r>
      <w:r w:rsidRPr="3E56B61F">
        <w:rPr>
          <w:lang w:val="en-US" w:eastAsia="zh-CN"/>
        </w:rPr>
        <w:t xml:space="preserve">the outcome of the </w:t>
      </w:r>
      <w:r w:rsidR="0BE793DC" w:rsidRPr="3E56B61F">
        <w:rPr>
          <w:lang w:val="en-US" w:eastAsia="zh-CN"/>
        </w:rPr>
        <w:t xml:space="preserve">Stakeholder </w:t>
      </w:r>
      <w:r w:rsidRPr="3E56B61F">
        <w:rPr>
          <w:lang w:val="en-US" w:eastAsia="zh-CN"/>
        </w:rPr>
        <w:t>Dialogue</w:t>
      </w:r>
      <w:r w:rsidR="7A367794" w:rsidRPr="3E56B61F">
        <w:rPr>
          <w:lang w:val="en-US" w:eastAsia="zh-CN"/>
        </w:rPr>
        <w:t>, as contained in CCM/MSP/2024/WP.3</w:t>
      </w:r>
      <w:r w:rsidRPr="3E56B61F">
        <w:rPr>
          <w:lang w:val="en-US" w:eastAsia="zh-CN"/>
        </w:rPr>
        <w:t xml:space="preserve">. The Meeting </w:t>
      </w:r>
      <w:r>
        <w:t xml:space="preserve">took note of the concerns raised by the </w:t>
      </w:r>
      <w:r w:rsidR="32A7B952">
        <w:t>s</w:t>
      </w:r>
      <w:r>
        <w:t>takeholder group</w:t>
      </w:r>
      <w:r w:rsidR="13421B63">
        <w:t>.</w:t>
      </w:r>
      <w:r w:rsidRPr="3E56B61F">
        <w:rPr>
          <w:lang w:val="en-US" w:eastAsia="zh-CN"/>
        </w:rPr>
        <w:t xml:space="preserve"> </w:t>
      </w:r>
    </w:p>
    <w:p w14:paraId="11F221D6" w14:textId="64EDDD70" w:rsidR="003E3020" w:rsidRPr="003E3020" w:rsidRDefault="3A52935D" w:rsidP="00CD1A11">
      <w:pPr>
        <w:pStyle w:val="ParNoG"/>
        <w:rPr>
          <w:lang w:val="en-US" w:eastAsia="zh-CN"/>
        </w:rPr>
      </w:pPr>
      <w:r w:rsidRPr="3E56B61F">
        <w:rPr>
          <w:lang w:val="en-US" w:eastAsia="zh-CN"/>
        </w:rPr>
        <w:t>Appraised of these concerns, the Meeting mandate</w:t>
      </w:r>
      <w:r w:rsidR="32A7B952" w:rsidRPr="3E56B61F">
        <w:rPr>
          <w:lang w:val="en-US" w:eastAsia="zh-CN"/>
        </w:rPr>
        <w:t>d</w:t>
      </w:r>
      <w:r w:rsidRPr="3E56B61F">
        <w:rPr>
          <w:lang w:val="en-US" w:eastAsia="zh-CN"/>
        </w:rPr>
        <w:t xml:space="preserve"> the President of the Thirteenth Meeting of States Parties, in cooperation with the Troika</w:t>
      </w:r>
      <w:r w:rsidR="008828AC">
        <w:rPr>
          <w:rStyle w:val="FootnoteReference"/>
          <w:rFonts w:eastAsia="Calibri" w:cstheme="majorBidi"/>
          <w:lang w:eastAsia="zh-CN"/>
        </w:rPr>
        <w:footnoteReference w:id="11"/>
      </w:r>
      <w:r w:rsidRPr="3E56B61F">
        <w:rPr>
          <w:lang w:val="en-US" w:eastAsia="zh-CN"/>
        </w:rPr>
        <w:t xml:space="preserve"> and the Coordination Committee, to consult and present recommendations for suggested ways forward for consideration by the Thirteenth Meeting. The Meeting also requested the Implementation Support Unit, in support of the President of the Thirteenth Meeting of States Parties, to convene a series of Dialogues open to States parties and other stakeholders to reflect on these and other concerns and challenges and consider concrete actions for consideration by the Thirteenth Meeting</w:t>
      </w:r>
      <w:r w:rsidR="30FE0025" w:rsidRPr="3E56B61F">
        <w:rPr>
          <w:lang w:val="en-US" w:eastAsia="zh-CN"/>
        </w:rPr>
        <w:t>.</w:t>
      </w:r>
      <w:r w:rsidRPr="3E56B61F">
        <w:rPr>
          <w:lang w:val="en-US" w:eastAsia="zh-CN"/>
        </w:rPr>
        <w:t xml:space="preserve"> </w:t>
      </w:r>
    </w:p>
    <w:p w14:paraId="38522589" w14:textId="381B0D8E" w:rsidR="00012128" w:rsidRPr="00012128" w:rsidRDefault="023D6639" w:rsidP="00CD1A11">
      <w:pPr>
        <w:pStyle w:val="ParNoG"/>
        <w:rPr>
          <w:lang w:eastAsia="zh-CN"/>
        </w:rPr>
      </w:pPr>
      <w:r w:rsidRPr="3E56B61F">
        <w:rPr>
          <w:lang w:eastAsia="zh-CN"/>
        </w:rPr>
        <w:t>In the context of considering the financial status of assessed contributions to the Convention</w:t>
      </w:r>
      <w:r w:rsidR="610E5D5B" w:rsidRPr="3E56B61F">
        <w:rPr>
          <w:lang w:eastAsia="zh-CN"/>
        </w:rPr>
        <w:t xml:space="preserve">, the </w:t>
      </w:r>
      <w:r w:rsidRPr="3E56B61F">
        <w:rPr>
          <w:lang w:eastAsia="zh-CN"/>
        </w:rPr>
        <w:t xml:space="preserve">Meeting </w:t>
      </w:r>
      <w:r w:rsidR="610E5D5B" w:rsidRPr="3E56B61F">
        <w:rPr>
          <w:lang w:eastAsia="zh-CN"/>
        </w:rPr>
        <w:t xml:space="preserve">expressed </w:t>
      </w:r>
      <w:r w:rsidR="22AC37C1" w:rsidRPr="3E56B61F">
        <w:rPr>
          <w:lang w:eastAsia="zh-CN"/>
        </w:rPr>
        <w:t xml:space="preserve">deep </w:t>
      </w:r>
      <w:r w:rsidRPr="3E56B61F">
        <w:rPr>
          <w:lang w:eastAsia="zh-CN"/>
        </w:rPr>
        <w:t xml:space="preserve">concern </w:t>
      </w:r>
      <w:r w:rsidR="7D58E41C" w:rsidRPr="3E56B61F">
        <w:rPr>
          <w:lang w:eastAsia="zh-CN"/>
        </w:rPr>
        <w:t>at</w:t>
      </w:r>
      <w:r w:rsidR="610E5D5B" w:rsidRPr="3E56B61F">
        <w:rPr>
          <w:lang w:eastAsia="zh-CN"/>
        </w:rPr>
        <w:t xml:space="preserve"> </w:t>
      </w:r>
      <w:r w:rsidRPr="3E56B61F">
        <w:rPr>
          <w:lang w:eastAsia="zh-CN"/>
        </w:rPr>
        <w:t>the continuing unstable financial situation due to late payment</w:t>
      </w:r>
      <w:r w:rsidR="24BD9700" w:rsidRPr="3E56B61F">
        <w:rPr>
          <w:lang w:eastAsia="zh-CN"/>
        </w:rPr>
        <w:t>s</w:t>
      </w:r>
      <w:r w:rsidRPr="3E56B61F">
        <w:rPr>
          <w:lang w:eastAsia="zh-CN"/>
        </w:rPr>
        <w:t xml:space="preserve"> and arrears of assessed contributions </w:t>
      </w:r>
      <w:r w:rsidR="2BAB7E37" w:rsidRPr="3E56B61F">
        <w:rPr>
          <w:lang w:eastAsia="zh-CN"/>
        </w:rPr>
        <w:t xml:space="preserve">which forced shortening its duration and affected multilingualism and its overall </w:t>
      </w:r>
      <w:r w:rsidR="146C4CFE" w:rsidRPr="3E56B61F">
        <w:rPr>
          <w:lang w:eastAsia="zh-CN"/>
        </w:rPr>
        <w:t>support and</w:t>
      </w:r>
      <w:r w:rsidRPr="3E56B61F">
        <w:rPr>
          <w:lang w:eastAsia="zh-CN"/>
        </w:rPr>
        <w:t xml:space="preserve"> underlined the importance to ensure compliance by all States Parties with their Article</w:t>
      </w:r>
      <w:r w:rsidR="2BAB7E37" w:rsidRPr="3E56B61F">
        <w:rPr>
          <w:lang w:eastAsia="zh-CN"/>
        </w:rPr>
        <w:t xml:space="preserve"> 14</w:t>
      </w:r>
      <w:r w:rsidRPr="3E56B61F">
        <w:rPr>
          <w:lang w:eastAsia="zh-CN"/>
        </w:rPr>
        <w:t xml:space="preserve"> </w:t>
      </w:r>
      <w:r w:rsidR="2BAB7E37" w:rsidRPr="3E56B61F">
        <w:rPr>
          <w:lang w:eastAsia="zh-CN"/>
        </w:rPr>
        <w:t>obligations</w:t>
      </w:r>
      <w:r w:rsidRPr="3E56B61F">
        <w:rPr>
          <w:lang w:eastAsia="zh-CN"/>
        </w:rPr>
        <w:t xml:space="preserve">. The Meeting </w:t>
      </w:r>
      <w:r w:rsidR="22AC37C1" w:rsidRPr="3E56B61F">
        <w:rPr>
          <w:lang w:eastAsia="zh-CN"/>
        </w:rPr>
        <w:t xml:space="preserve">strongly appealed to </w:t>
      </w:r>
      <w:r w:rsidRPr="3E56B61F">
        <w:rPr>
          <w:lang w:eastAsia="zh-CN"/>
        </w:rPr>
        <w:t xml:space="preserve">the States </w:t>
      </w:r>
      <w:r w:rsidR="146C4CFE" w:rsidRPr="3E56B61F">
        <w:rPr>
          <w:lang w:eastAsia="zh-CN"/>
        </w:rPr>
        <w:t>p</w:t>
      </w:r>
      <w:r w:rsidRPr="3E56B61F">
        <w:rPr>
          <w:lang w:eastAsia="zh-CN"/>
        </w:rPr>
        <w:t xml:space="preserve">arties and observer States participating in the meetings of States Parties to proceed promptly with the payment of their share of the estimated costs as soon as the assessment invoices have been received. </w:t>
      </w:r>
    </w:p>
    <w:p w14:paraId="0114C659" w14:textId="4FA40027" w:rsidR="00775674" w:rsidRPr="00775674" w:rsidRDefault="00775674" w:rsidP="00CD1A11">
      <w:pPr>
        <w:pStyle w:val="ParNoG"/>
        <w:rPr>
          <w:lang w:val="en-US" w:eastAsia="zh-CN"/>
        </w:rPr>
      </w:pPr>
      <w:r w:rsidRPr="00775674">
        <w:rPr>
          <w:lang w:val="en-US" w:eastAsia="zh-CN"/>
        </w:rPr>
        <w:t xml:space="preserve">At its </w:t>
      </w:r>
      <w:r w:rsidRPr="004B23E3">
        <w:rPr>
          <w:lang w:val="en-US" w:eastAsia="zh-CN"/>
        </w:rPr>
        <w:t>s</w:t>
      </w:r>
      <w:r w:rsidR="00227B74" w:rsidRPr="004B23E3">
        <w:rPr>
          <w:lang w:val="en-US" w:eastAsia="zh-CN"/>
        </w:rPr>
        <w:t>ixth</w:t>
      </w:r>
      <w:r w:rsidRPr="00775674">
        <w:rPr>
          <w:lang w:val="en-US" w:eastAsia="zh-CN"/>
        </w:rPr>
        <w:t xml:space="preserve"> plenary meeting, the Meeting welcomed new Coordinators to guide the intersessional work programme, as follows: </w:t>
      </w:r>
    </w:p>
    <w:p w14:paraId="150A0380" w14:textId="74C49B37" w:rsidR="00775674" w:rsidRPr="00CD1A11" w:rsidRDefault="00775674" w:rsidP="00CD1A11">
      <w:pPr>
        <w:pStyle w:val="SingleTxtG"/>
        <w:ind w:left="2268" w:hanging="1134"/>
      </w:pPr>
      <w:r w:rsidRPr="00CD1A11">
        <w:tab/>
      </w:r>
      <w:r w:rsidR="226A8956" w:rsidRPr="00CD1A11">
        <w:t>(a)</w:t>
      </w:r>
      <w:r w:rsidRPr="00CD1A11">
        <w:tab/>
      </w:r>
      <w:r w:rsidR="226A8956" w:rsidRPr="00CD1A11">
        <w:t xml:space="preserve">Working group on the </w:t>
      </w:r>
      <w:r w:rsidR="146C4CFE" w:rsidRPr="00CD1A11">
        <w:t>G</w:t>
      </w:r>
      <w:r w:rsidR="226A8956" w:rsidRPr="00CD1A11">
        <w:t xml:space="preserve">eneral status and operation of the Convention: </w:t>
      </w:r>
      <w:r w:rsidR="144D8B22" w:rsidRPr="00CD1A11">
        <w:t xml:space="preserve">Germany </w:t>
      </w:r>
      <w:bookmarkStart w:id="21" w:name="_Hlk177032926"/>
      <w:r w:rsidR="226A8956" w:rsidRPr="00CD1A11">
        <w:t>(until the end of the Thirteenth Meeting of States parties)</w:t>
      </w:r>
      <w:r w:rsidR="6F857B05" w:rsidRPr="00CD1A11">
        <w:t xml:space="preserve"> working with Austria (until the end of the Third </w:t>
      </w:r>
      <w:r w:rsidR="45CD9751" w:rsidRPr="00CD1A11">
        <w:t xml:space="preserve">Review </w:t>
      </w:r>
      <w:r w:rsidR="6F857B05" w:rsidRPr="00CD1A11">
        <w:t>Conference)</w:t>
      </w:r>
      <w:r w:rsidR="226A8956" w:rsidRPr="00CD1A11">
        <w:t>;</w:t>
      </w:r>
      <w:bookmarkEnd w:id="21"/>
    </w:p>
    <w:p w14:paraId="3C34FDB3" w14:textId="7B1387C5" w:rsidR="00775674" w:rsidRPr="00CD1A11" w:rsidRDefault="00775674" w:rsidP="00CD1A11">
      <w:pPr>
        <w:pStyle w:val="SingleTxtG"/>
        <w:ind w:left="2268" w:hanging="1134"/>
      </w:pPr>
      <w:r w:rsidRPr="00CD1A11">
        <w:tab/>
        <w:t>(b)</w:t>
      </w:r>
      <w:r w:rsidRPr="00CD1A11">
        <w:tab/>
        <w:t xml:space="preserve">Working group on Universalization: </w:t>
      </w:r>
      <w:r w:rsidR="008B36C7" w:rsidRPr="00CD1A11">
        <w:t xml:space="preserve">Peru </w:t>
      </w:r>
      <w:r w:rsidR="0090594B" w:rsidRPr="00CD1A11">
        <w:t xml:space="preserve">(until the end of the Thirteenth Meeting of States parties) working with </w:t>
      </w:r>
      <w:r w:rsidR="008B36C7" w:rsidRPr="00CD1A11">
        <w:t>Norway</w:t>
      </w:r>
      <w:r w:rsidR="0090594B" w:rsidRPr="00CD1A11">
        <w:t xml:space="preserve"> (until the end of the Third </w:t>
      </w:r>
      <w:r w:rsidR="008B36C7" w:rsidRPr="00CD1A11">
        <w:t xml:space="preserve">Review </w:t>
      </w:r>
      <w:r w:rsidR="0090594B" w:rsidRPr="00CD1A11">
        <w:t>Conference);</w:t>
      </w:r>
    </w:p>
    <w:p w14:paraId="3597CD3D" w14:textId="09354E9D" w:rsidR="004C59D7" w:rsidRPr="00CD1A11" w:rsidRDefault="00775674" w:rsidP="00CD1A11">
      <w:pPr>
        <w:pStyle w:val="SingleTxtG"/>
        <w:ind w:left="2268" w:hanging="1134"/>
      </w:pPr>
      <w:r w:rsidRPr="00CD1A11">
        <w:tab/>
      </w:r>
      <w:r w:rsidR="226A8956" w:rsidRPr="00CD1A11">
        <w:t>(c)</w:t>
      </w:r>
      <w:r w:rsidRPr="00CD1A11">
        <w:tab/>
      </w:r>
      <w:r w:rsidR="226A8956" w:rsidRPr="00CD1A11">
        <w:t>Working group on Victim Assistance:</w:t>
      </w:r>
      <w:r w:rsidR="3353A758" w:rsidRPr="00CD1A11">
        <w:t xml:space="preserve"> Panama</w:t>
      </w:r>
      <w:r w:rsidR="226A8956" w:rsidRPr="00CD1A11">
        <w:t xml:space="preserve"> </w:t>
      </w:r>
      <w:r w:rsidR="3353A758" w:rsidRPr="00CD1A11">
        <w:t xml:space="preserve">(until the end of the Thirteenth Meeting of States parties) working with </w:t>
      </w:r>
      <w:r w:rsidR="04F610F8" w:rsidRPr="00CD1A11">
        <w:t>(TBC)</w:t>
      </w:r>
      <w:r w:rsidR="00CE672C" w:rsidRPr="008777F7">
        <w:rPr>
          <w:vertAlign w:val="superscript"/>
        </w:rPr>
        <w:footnoteReference w:id="12"/>
      </w:r>
      <w:r w:rsidR="3353A758" w:rsidRPr="008777F7">
        <w:rPr>
          <w:vertAlign w:val="superscript"/>
        </w:rPr>
        <w:t xml:space="preserve"> </w:t>
      </w:r>
      <w:r w:rsidR="3353A758" w:rsidRPr="00CD1A11">
        <w:t>(until the end of the Third Review Conference);</w:t>
      </w:r>
    </w:p>
    <w:p w14:paraId="749C6893" w14:textId="7426F81B" w:rsidR="008B36C7" w:rsidRPr="00CD1A11" w:rsidRDefault="00775674" w:rsidP="00CD1A11">
      <w:pPr>
        <w:pStyle w:val="SingleTxtG"/>
        <w:ind w:left="2268" w:hanging="1134"/>
      </w:pPr>
      <w:r w:rsidRPr="00CD1A11">
        <w:tab/>
        <w:t>(d)</w:t>
      </w:r>
      <w:r w:rsidRPr="00CD1A11">
        <w:tab/>
        <w:t>Working group on Clearance:</w:t>
      </w:r>
      <w:r w:rsidR="008B36C7" w:rsidRPr="00CD1A11">
        <w:t xml:space="preserve"> Italy</w:t>
      </w:r>
      <w:r w:rsidRPr="00CD1A11">
        <w:t xml:space="preserve"> </w:t>
      </w:r>
      <w:r w:rsidR="008B36C7" w:rsidRPr="00CD1A11">
        <w:t>(until the end of the Thirteenth Meeting of States parties) working with France (until the end of the Third Review Conference);</w:t>
      </w:r>
    </w:p>
    <w:p w14:paraId="03CAC3A8" w14:textId="61A6AA5D" w:rsidR="00483E5E" w:rsidRPr="00CD1A11" w:rsidRDefault="008B36C7" w:rsidP="00CD1A11">
      <w:pPr>
        <w:pStyle w:val="SingleTxtG"/>
        <w:ind w:left="2268" w:hanging="1134"/>
      </w:pPr>
      <w:r w:rsidRPr="00CD1A11">
        <w:tab/>
      </w:r>
      <w:r w:rsidR="226A8956" w:rsidRPr="00CD1A11">
        <w:t>(e)</w:t>
      </w:r>
      <w:r w:rsidR="00775674" w:rsidRPr="00CD1A11">
        <w:tab/>
      </w:r>
      <w:r w:rsidR="226A8956" w:rsidRPr="00CD1A11">
        <w:t xml:space="preserve">Working group on Stockpile destruction and retention: </w:t>
      </w:r>
      <w:r w:rsidR="36EA5D92" w:rsidRPr="00CD1A11">
        <w:t xml:space="preserve">Zambia </w:t>
      </w:r>
      <w:r w:rsidR="5AE4A545" w:rsidRPr="00CD1A11">
        <w:t xml:space="preserve">(until the end of the Thirteenth Meeting of States parties) working with </w:t>
      </w:r>
      <w:r w:rsidR="04F610F8" w:rsidRPr="00CD1A11">
        <w:t>(TBC)</w:t>
      </w:r>
      <w:r w:rsidR="00CE672C" w:rsidRPr="008777F7">
        <w:rPr>
          <w:vertAlign w:val="superscript"/>
        </w:rPr>
        <w:footnoteReference w:id="13"/>
      </w:r>
      <w:r w:rsidR="5AE4A545" w:rsidRPr="00CD1A11">
        <w:t>(until the end of the Third Review Conference);</w:t>
      </w:r>
    </w:p>
    <w:p w14:paraId="36FA751E" w14:textId="0542F112" w:rsidR="00775674" w:rsidRPr="00775674" w:rsidRDefault="00483E5E" w:rsidP="00CD1A11">
      <w:pPr>
        <w:pStyle w:val="SingleTxtG"/>
        <w:ind w:left="2268" w:hanging="1134"/>
        <w:rPr>
          <w:rFonts w:asciiTheme="majorBidi" w:eastAsia="Calibri" w:hAnsiTheme="majorBidi" w:cstheme="majorBidi"/>
        </w:rPr>
      </w:pPr>
      <w:r w:rsidRPr="00CD1A11">
        <w:lastRenderedPageBreak/>
        <w:tab/>
      </w:r>
      <w:r w:rsidR="00775674" w:rsidRPr="00CD1A11">
        <w:t>(f)</w:t>
      </w:r>
      <w:r w:rsidR="00775674" w:rsidRPr="00CD1A11">
        <w:tab/>
        <w:t xml:space="preserve">Working group on Cooperation and Assistance: </w:t>
      </w:r>
      <w:r w:rsidRPr="00CD1A11">
        <w:t xml:space="preserve">Switzerland (until the end of the Thirteenth Meeting of States parties) working with the </w:t>
      </w:r>
      <w:r w:rsidR="00B077E9" w:rsidRPr="00CD1A11">
        <w:t>Netherlands (</w:t>
      </w:r>
      <w:r w:rsidRPr="00CD1A11">
        <w:t>until the end of the</w:t>
      </w:r>
      <w:r w:rsidRPr="00483E5E">
        <w:rPr>
          <w:rFonts w:asciiTheme="majorBidi" w:eastAsia="Calibri" w:hAnsiTheme="majorBidi" w:cstheme="majorBidi"/>
        </w:rPr>
        <w:t xml:space="preserve"> Third Review Conference)</w:t>
      </w:r>
      <w:r w:rsidR="00CD1A11">
        <w:rPr>
          <w:rFonts w:asciiTheme="majorBidi" w:eastAsia="Calibri" w:hAnsiTheme="majorBidi" w:cstheme="majorBidi"/>
        </w:rPr>
        <w:t>.</w:t>
      </w:r>
    </w:p>
    <w:p w14:paraId="416BDA43" w14:textId="07EA4774" w:rsidR="00775674" w:rsidRPr="00775674" w:rsidRDefault="00775674" w:rsidP="00CD1A11">
      <w:pPr>
        <w:pStyle w:val="ParNoG"/>
        <w:rPr>
          <w:lang w:val="en-US" w:eastAsia="zh-CN"/>
        </w:rPr>
      </w:pPr>
      <w:r w:rsidRPr="00775674">
        <w:rPr>
          <w:lang w:val="en-US" w:eastAsia="zh-CN"/>
        </w:rPr>
        <w:t xml:space="preserve">At the same plenary meeting, the Meeting welcomed the Coordinators to lead the following thematic areas: </w:t>
      </w:r>
    </w:p>
    <w:p w14:paraId="61A1186D" w14:textId="77777777" w:rsidR="00775674" w:rsidRPr="00775674" w:rsidRDefault="00775674" w:rsidP="00775674">
      <w:pPr>
        <w:pStyle w:val="Bullet1G"/>
        <w:rPr>
          <w:lang w:val="en-US" w:eastAsia="zh-CN"/>
        </w:rPr>
      </w:pPr>
      <w:r w:rsidRPr="00775674">
        <w:rPr>
          <w:lang w:val="en-US" w:eastAsia="zh-CN"/>
        </w:rPr>
        <w:tab/>
        <w:t xml:space="preserve">Transparency Measures: Australia </w:t>
      </w:r>
    </w:p>
    <w:p w14:paraId="7C32F080" w14:textId="0A41E0A0" w:rsidR="00775674" w:rsidRDefault="00775674" w:rsidP="00775674">
      <w:pPr>
        <w:pStyle w:val="Bullet1G"/>
        <w:rPr>
          <w:lang w:val="en-US" w:eastAsia="zh-CN"/>
        </w:rPr>
      </w:pPr>
      <w:r w:rsidRPr="00775674">
        <w:rPr>
          <w:lang w:val="en-US" w:eastAsia="zh-CN"/>
        </w:rPr>
        <w:tab/>
        <w:t xml:space="preserve">National Implementation Measures: </w:t>
      </w:r>
      <w:r w:rsidR="00483E5E">
        <w:rPr>
          <w:lang w:val="en-US" w:eastAsia="zh-CN"/>
        </w:rPr>
        <w:t>Iraq</w:t>
      </w:r>
    </w:p>
    <w:p w14:paraId="7E14C44E" w14:textId="78A4A7DE" w:rsidR="008C4916" w:rsidRPr="00775674" w:rsidRDefault="008C4916" w:rsidP="00775674">
      <w:pPr>
        <w:pStyle w:val="Bullet1G"/>
        <w:rPr>
          <w:lang w:val="en-US" w:eastAsia="zh-CN"/>
        </w:rPr>
      </w:pPr>
      <w:r>
        <w:rPr>
          <w:lang w:val="en-US" w:eastAsia="zh-CN"/>
        </w:rPr>
        <w:t xml:space="preserve">Risk education: </w:t>
      </w:r>
      <w:r w:rsidR="00B077E9">
        <w:rPr>
          <w:lang w:val="en-US" w:eastAsia="zh-CN"/>
        </w:rPr>
        <w:t xml:space="preserve">Lao People’s </w:t>
      </w:r>
      <w:r w:rsidR="008E4563">
        <w:rPr>
          <w:lang w:val="en-US" w:eastAsia="zh-CN"/>
        </w:rPr>
        <w:t>Democratic Republic</w:t>
      </w:r>
    </w:p>
    <w:p w14:paraId="494155B6" w14:textId="2F4E0432" w:rsidR="00775674" w:rsidRPr="00775674" w:rsidRDefault="00775674" w:rsidP="00CD1A11">
      <w:pPr>
        <w:pStyle w:val="ParNoG"/>
        <w:rPr>
          <w:lang w:val="en-US" w:eastAsia="zh-CN"/>
        </w:rPr>
      </w:pPr>
      <w:r w:rsidRPr="00775674">
        <w:rPr>
          <w:lang w:val="en-US" w:eastAsia="zh-CN"/>
        </w:rPr>
        <w:t xml:space="preserve">The Meeting reaffirmed its attachment to the principle of </w:t>
      </w:r>
      <w:r w:rsidR="003D548B" w:rsidRPr="00775674">
        <w:rPr>
          <w:lang w:val="en-US" w:eastAsia="zh-CN"/>
        </w:rPr>
        <w:t>multilingualism</w:t>
      </w:r>
      <w:r w:rsidR="003D548B">
        <w:rPr>
          <w:lang w:val="en-US" w:eastAsia="zh-CN"/>
        </w:rPr>
        <w:t xml:space="preserve"> and</w:t>
      </w:r>
      <w:r w:rsidR="00CE1326">
        <w:rPr>
          <w:lang w:val="en-US" w:eastAsia="zh-CN"/>
        </w:rPr>
        <w:t xml:space="preserve"> </w:t>
      </w:r>
      <w:r w:rsidR="002015B8">
        <w:rPr>
          <w:lang w:val="en-US" w:eastAsia="zh-CN"/>
        </w:rPr>
        <w:t>emphasize</w:t>
      </w:r>
      <w:r w:rsidR="00213C31">
        <w:rPr>
          <w:lang w:val="en-US" w:eastAsia="zh-CN"/>
        </w:rPr>
        <w:t>d</w:t>
      </w:r>
      <w:r w:rsidR="002015B8">
        <w:rPr>
          <w:lang w:val="en-US" w:eastAsia="zh-CN"/>
        </w:rPr>
        <w:t xml:space="preserve"> the</w:t>
      </w:r>
      <w:r w:rsidR="00E00EB1">
        <w:rPr>
          <w:lang w:val="en-US" w:eastAsia="zh-CN"/>
        </w:rPr>
        <w:t xml:space="preserve"> need to ensure </w:t>
      </w:r>
      <w:r w:rsidR="00842C46">
        <w:rPr>
          <w:lang w:val="en-US" w:eastAsia="zh-CN"/>
        </w:rPr>
        <w:t xml:space="preserve">the </w:t>
      </w:r>
      <w:r w:rsidR="00C336B5">
        <w:rPr>
          <w:lang w:val="en-US" w:eastAsia="zh-CN"/>
        </w:rPr>
        <w:t xml:space="preserve">prompt payment of financial contributions </w:t>
      </w:r>
      <w:r w:rsidR="00A77D91">
        <w:rPr>
          <w:lang w:val="en-US" w:eastAsia="zh-CN"/>
        </w:rPr>
        <w:t xml:space="preserve">to ensure its effective implementation. </w:t>
      </w:r>
    </w:p>
    <w:p w14:paraId="6A8200A7" w14:textId="5FD3A89B" w:rsidR="00775674" w:rsidRPr="00775674" w:rsidRDefault="226A8956" w:rsidP="00CD1A11">
      <w:pPr>
        <w:pStyle w:val="ParNoG"/>
        <w:rPr>
          <w:lang w:val="en-US" w:eastAsia="zh-CN"/>
        </w:rPr>
      </w:pPr>
      <w:r w:rsidRPr="3E56B61F">
        <w:rPr>
          <w:lang w:val="en-US" w:eastAsia="zh-CN"/>
        </w:rPr>
        <w:t xml:space="preserve">The Meeting </w:t>
      </w:r>
      <w:r w:rsidR="1B470E53" w:rsidRPr="3E56B61F">
        <w:rPr>
          <w:lang w:val="en-US" w:eastAsia="zh-CN"/>
        </w:rPr>
        <w:t xml:space="preserve">elected </w:t>
      </w:r>
      <w:r w:rsidR="1B470E53" w:rsidRPr="3E56B61F">
        <w:rPr>
          <w:lang w:eastAsia="zh-CN"/>
        </w:rPr>
        <w:t xml:space="preserve">Ambassador Carlos D. </w:t>
      </w:r>
      <w:proofErr w:type="spellStart"/>
      <w:r w:rsidR="1B470E53" w:rsidRPr="3E56B61F">
        <w:rPr>
          <w:lang w:eastAsia="zh-CN"/>
        </w:rPr>
        <w:t>Sorreta</w:t>
      </w:r>
      <w:proofErr w:type="spellEnd"/>
      <w:r w:rsidR="1B470E53" w:rsidRPr="3E56B61F">
        <w:rPr>
          <w:lang w:eastAsia="zh-CN"/>
        </w:rPr>
        <w:t>, Permanent Representative of the Philippines</w:t>
      </w:r>
      <w:r w:rsidR="798F7DCD" w:rsidRPr="3E56B61F">
        <w:rPr>
          <w:lang w:eastAsia="zh-CN"/>
        </w:rPr>
        <w:t>,</w:t>
      </w:r>
      <w:r w:rsidR="1B470E53" w:rsidRPr="3E56B61F">
        <w:rPr>
          <w:lang w:eastAsia="zh-CN"/>
        </w:rPr>
        <w:t xml:space="preserve"> as </w:t>
      </w:r>
      <w:r w:rsidR="798F7DCD" w:rsidRPr="3E56B61F">
        <w:rPr>
          <w:lang w:eastAsia="zh-CN"/>
        </w:rPr>
        <w:t>the</w:t>
      </w:r>
      <w:r w:rsidR="1B470E53" w:rsidRPr="3E56B61F">
        <w:rPr>
          <w:lang w:eastAsia="zh-CN"/>
        </w:rPr>
        <w:t xml:space="preserve"> President of the </w:t>
      </w:r>
      <w:bookmarkStart w:id="22" w:name="_Hlk138428049"/>
      <w:r w:rsidR="1B470E53" w:rsidRPr="3E56B61F">
        <w:rPr>
          <w:lang w:eastAsia="zh-CN"/>
        </w:rPr>
        <w:t>Thirteenth Meeting of States Parties</w:t>
      </w:r>
      <w:bookmarkEnd w:id="22"/>
      <w:r w:rsidR="1B470E53" w:rsidRPr="3E56B61F">
        <w:rPr>
          <w:lang w:eastAsia="zh-CN"/>
        </w:rPr>
        <w:t xml:space="preserve"> </w:t>
      </w:r>
      <w:r w:rsidRPr="3E56B61F">
        <w:rPr>
          <w:lang w:val="en-US" w:eastAsia="zh-CN"/>
        </w:rPr>
        <w:t xml:space="preserve">to be held </w:t>
      </w:r>
      <w:r w:rsidR="6783B148" w:rsidRPr="3E56B61F">
        <w:rPr>
          <w:lang w:val="en-US" w:eastAsia="zh-CN"/>
        </w:rPr>
        <w:t xml:space="preserve">in </w:t>
      </w:r>
      <w:r w:rsidRPr="3E56B61F">
        <w:rPr>
          <w:lang w:val="en-US" w:eastAsia="zh-CN"/>
        </w:rPr>
        <w:t>202</w:t>
      </w:r>
      <w:r w:rsidR="1B470E53" w:rsidRPr="3E56B61F">
        <w:rPr>
          <w:lang w:val="en-US" w:eastAsia="zh-CN"/>
        </w:rPr>
        <w:t>5</w:t>
      </w:r>
      <w:r w:rsidRPr="3E56B61F">
        <w:rPr>
          <w:lang w:val="en-US" w:eastAsia="zh-CN"/>
        </w:rPr>
        <w:t xml:space="preserve">. In accordance with the decision taken at the First Review Conference, </w:t>
      </w:r>
      <w:r w:rsidR="6783B148" w:rsidRPr="3E56B61F">
        <w:rPr>
          <w:lang w:val="en-US" w:eastAsia="zh-CN"/>
        </w:rPr>
        <w:t>his</w:t>
      </w:r>
      <w:r w:rsidRPr="3E56B61F">
        <w:rPr>
          <w:lang w:val="en-US" w:eastAsia="zh-CN"/>
        </w:rPr>
        <w:t xml:space="preserve"> term will commence on the day following the conclusion of the </w:t>
      </w:r>
      <w:r w:rsidR="6783B148" w:rsidRPr="3E56B61F">
        <w:rPr>
          <w:lang w:val="en-US" w:eastAsia="zh-CN"/>
        </w:rPr>
        <w:t xml:space="preserve">Twelfth </w:t>
      </w:r>
      <w:r w:rsidRPr="3E56B61F">
        <w:rPr>
          <w:lang w:val="en-US" w:eastAsia="zh-CN"/>
        </w:rPr>
        <w:t>Meeting of States Parties until the last day of the T</w:t>
      </w:r>
      <w:r w:rsidR="6783B148" w:rsidRPr="3E56B61F">
        <w:rPr>
          <w:lang w:val="en-US" w:eastAsia="zh-CN"/>
        </w:rPr>
        <w:t xml:space="preserve">hirteenth </w:t>
      </w:r>
      <w:r w:rsidRPr="3E56B61F">
        <w:rPr>
          <w:lang w:val="en-US" w:eastAsia="zh-CN"/>
        </w:rPr>
        <w:t xml:space="preserve">Meeting of States Parties. </w:t>
      </w:r>
    </w:p>
    <w:p w14:paraId="18600932" w14:textId="188C2C37" w:rsidR="00775674" w:rsidRPr="00775674" w:rsidRDefault="226A8956" w:rsidP="00CD1A11">
      <w:pPr>
        <w:pStyle w:val="ParNoG"/>
        <w:rPr>
          <w:lang w:val="en-US" w:eastAsia="zh-CN"/>
        </w:rPr>
      </w:pPr>
      <w:r w:rsidRPr="3E56B61F">
        <w:rPr>
          <w:lang w:val="en-US" w:eastAsia="zh-CN"/>
        </w:rPr>
        <w:t xml:space="preserve">The Meeting also decided that the </w:t>
      </w:r>
      <w:r w:rsidR="6783B148" w:rsidRPr="3E56B61F">
        <w:rPr>
          <w:lang w:val="en-US" w:eastAsia="zh-CN"/>
        </w:rPr>
        <w:t xml:space="preserve">Thirteenth </w:t>
      </w:r>
      <w:r w:rsidRPr="3E56B61F">
        <w:rPr>
          <w:lang w:val="en-US" w:eastAsia="zh-CN"/>
        </w:rPr>
        <w:t>Meeting of States Parties w</w:t>
      </w:r>
      <w:r w:rsidR="456C4963" w:rsidRPr="3E56B61F">
        <w:rPr>
          <w:lang w:val="en-US" w:eastAsia="zh-CN"/>
        </w:rPr>
        <w:t>ill</w:t>
      </w:r>
      <w:r w:rsidRPr="3E56B61F">
        <w:rPr>
          <w:lang w:val="en-US" w:eastAsia="zh-CN"/>
        </w:rPr>
        <w:t xml:space="preserve"> take place </w:t>
      </w:r>
      <w:r w:rsidR="6783B148" w:rsidRPr="3E56B61F">
        <w:rPr>
          <w:lang w:val="en-US" w:eastAsia="zh-CN"/>
        </w:rPr>
        <w:t xml:space="preserve">during the week of </w:t>
      </w:r>
      <w:r w:rsidRPr="3E56B61F">
        <w:rPr>
          <w:lang w:val="en-US" w:eastAsia="zh-CN"/>
        </w:rPr>
        <w:t>1</w:t>
      </w:r>
      <w:r w:rsidR="6783B148" w:rsidRPr="3E56B61F">
        <w:rPr>
          <w:lang w:val="en-US" w:eastAsia="zh-CN"/>
        </w:rPr>
        <w:t>5</w:t>
      </w:r>
      <w:r w:rsidRPr="3E56B61F">
        <w:rPr>
          <w:lang w:val="en-US" w:eastAsia="zh-CN"/>
        </w:rPr>
        <w:t xml:space="preserve"> September 202</w:t>
      </w:r>
      <w:r w:rsidR="6783B148" w:rsidRPr="3E56B61F">
        <w:rPr>
          <w:lang w:val="en-US" w:eastAsia="zh-CN"/>
        </w:rPr>
        <w:t>5</w:t>
      </w:r>
      <w:r w:rsidRPr="3E56B61F">
        <w:rPr>
          <w:lang w:val="en-US" w:eastAsia="zh-CN"/>
        </w:rPr>
        <w:t xml:space="preserve"> in Geneva</w:t>
      </w:r>
      <w:r w:rsidR="03C12DEB" w:rsidRPr="3E56B61F">
        <w:rPr>
          <w:lang w:val="en-US" w:eastAsia="zh-CN"/>
        </w:rPr>
        <w:t xml:space="preserve"> and </w:t>
      </w:r>
      <w:r w:rsidR="1863FEB5" w:rsidRPr="3E56B61F">
        <w:rPr>
          <w:lang w:val="en-US" w:eastAsia="zh-CN"/>
        </w:rPr>
        <w:t xml:space="preserve">adopted </w:t>
      </w:r>
      <w:r w:rsidR="03C12DEB" w:rsidRPr="3E56B61F">
        <w:rPr>
          <w:lang w:val="en-US" w:eastAsia="zh-CN"/>
        </w:rPr>
        <w:t>the revised estimated costs of the Thirteenth Meeting of States Parties, as contained on document CCM/MSP/202</w:t>
      </w:r>
      <w:r w:rsidR="66C7BCA3" w:rsidRPr="3E56B61F">
        <w:rPr>
          <w:lang w:val="en-US" w:eastAsia="zh-CN"/>
        </w:rPr>
        <w:t>4</w:t>
      </w:r>
      <w:r w:rsidR="03C12DEB" w:rsidRPr="3E56B61F">
        <w:rPr>
          <w:lang w:val="en-US" w:eastAsia="zh-CN"/>
        </w:rPr>
        <w:t>/</w:t>
      </w:r>
      <w:r w:rsidR="66C7BCA3" w:rsidRPr="3E56B61F">
        <w:rPr>
          <w:lang w:val="en-US" w:eastAsia="zh-CN"/>
        </w:rPr>
        <w:t>8</w:t>
      </w:r>
      <w:r w:rsidR="03C12DEB" w:rsidRPr="3E56B61F">
        <w:rPr>
          <w:lang w:val="en-US" w:eastAsia="zh-CN"/>
        </w:rPr>
        <w:t>.</w:t>
      </w:r>
    </w:p>
    <w:p w14:paraId="34346793" w14:textId="63930964" w:rsidR="00775674" w:rsidRDefault="00775674" w:rsidP="00CD1A11">
      <w:pPr>
        <w:pStyle w:val="ParNoG"/>
        <w:rPr>
          <w:lang w:val="en-US" w:eastAsia="zh-CN"/>
        </w:rPr>
      </w:pPr>
      <w:r w:rsidRPr="00775674">
        <w:rPr>
          <w:lang w:val="en-US" w:eastAsia="zh-CN"/>
        </w:rPr>
        <w:t>In accordance with the decision of the Second Review Conference, the Meeting decided to hold intersessional meetings during the ensuing annual cycle</w:t>
      </w:r>
      <w:r w:rsidR="003149D0">
        <w:rPr>
          <w:lang w:val="en-US" w:eastAsia="zh-CN"/>
        </w:rPr>
        <w:t xml:space="preserve"> at a date to be </w:t>
      </w:r>
      <w:r w:rsidR="009161F9">
        <w:rPr>
          <w:lang w:val="en-US" w:eastAsia="zh-CN"/>
        </w:rPr>
        <w:t>decided and communicated by the President of the Thirteenth Meeting of States Parties</w:t>
      </w:r>
      <w:r w:rsidRPr="00775674">
        <w:rPr>
          <w:lang w:val="en-US" w:eastAsia="zh-CN"/>
        </w:rPr>
        <w:t xml:space="preserve">. </w:t>
      </w:r>
    </w:p>
    <w:p w14:paraId="63AF5D25" w14:textId="2E0851C8" w:rsidR="00245183" w:rsidRPr="00245183" w:rsidRDefault="50AFEA56" w:rsidP="00CD1A11">
      <w:pPr>
        <w:pStyle w:val="ParNoG"/>
        <w:rPr>
          <w:lang w:val="en-US" w:eastAsia="zh-CN"/>
        </w:rPr>
      </w:pPr>
      <w:r w:rsidRPr="3E56B61F">
        <w:rPr>
          <w:lang w:val="en-US" w:eastAsia="zh-CN"/>
        </w:rPr>
        <w:t xml:space="preserve">The Meeting also decided that the Third Review Conference of States Parties </w:t>
      </w:r>
      <w:r w:rsidR="7472DF4D" w:rsidRPr="3E56B61F">
        <w:rPr>
          <w:lang w:val="en-US" w:eastAsia="zh-CN"/>
        </w:rPr>
        <w:t xml:space="preserve">to </w:t>
      </w:r>
      <w:r w:rsidRPr="3E56B61F">
        <w:rPr>
          <w:lang w:val="en-US" w:eastAsia="zh-CN"/>
        </w:rPr>
        <w:t xml:space="preserve">take place </w:t>
      </w:r>
      <w:r w:rsidR="7472DF4D" w:rsidRPr="3E56B61F">
        <w:rPr>
          <w:lang w:val="en-US" w:eastAsia="zh-CN"/>
        </w:rPr>
        <w:t xml:space="preserve">in 2026 will be presided over by Lao People’s Democratic Republic </w:t>
      </w:r>
      <w:r w:rsidRPr="3E56B61F">
        <w:rPr>
          <w:lang w:val="en-US" w:eastAsia="zh-CN"/>
        </w:rPr>
        <w:t>and</w:t>
      </w:r>
      <w:r w:rsidR="0A9B2370" w:rsidRPr="3E56B61F">
        <w:rPr>
          <w:lang w:val="en-US" w:eastAsia="zh-CN"/>
        </w:rPr>
        <w:t xml:space="preserve">, </w:t>
      </w:r>
      <w:r w:rsidRPr="3E56B61F">
        <w:rPr>
          <w:lang w:val="en-US" w:eastAsia="zh-CN"/>
        </w:rPr>
        <w:t xml:space="preserve"> </w:t>
      </w:r>
      <w:r w:rsidR="3A476489" w:rsidRPr="3E56B61F">
        <w:rPr>
          <w:lang w:val="en-US" w:eastAsia="zh-CN"/>
        </w:rPr>
        <w:t xml:space="preserve">pursuant </w:t>
      </w:r>
      <w:r w:rsidR="636E52BC" w:rsidRPr="3E56B61F">
        <w:rPr>
          <w:lang w:val="en-US" w:eastAsia="zh-CN"/>
        </w:rPr>
        <w:t>t</w:t>
      </w:r>
      <w:r w:rsidR="3A476489" w:rsidRPr="3E56B61F">
        <w:rPr>
          <w:lang w:val="en-US" w:eastAsia="zh-CN"/>
        </w:rPr>
        <w:t>o the decision</w:t>
      </w:r>
      <w:r w:rsidR="001D09D4" w:rsidRPr="3E56B61F">
        <w:rPr>
          <w:rStyle w:val="FootnoteReference"/>
          <w:rFonts w:eastAsia="Calibri" w:cstheme="majorBidi"/>
          <w:lang w:eastAsia="zh-CN"/>
        </w:rPr>
        <w:footnoteReference w:id="14"/>
      </w:r>
      <w:r w:rsidR="3A476489" w:rsidRPr="3E56B61F">
        <w:rPr>
          <w:lang w:val="en-US" w:eastAsia="zh-CN"/>
        </w:rPr>
        <w:t xml:space="preserve"> of the Second Review Conference requesting the United Nations to prepare </w:t>
      </w:r>
      <w:r w:rsidR="636E52BC" w:rsidRPr="3E56B61F">
        <w:rPr>
          <w:lang w:eastAsia="zh-CN"/>
        </w:rPr>
        <w:t>a multi-year cost-estimate that covers a two</w:t>
      </w:r>
      <w:r w:rsidR="718BA8A1" w:rsidRPr="3E56B61F">
        <w:rPr>
          <w:lang w:eastAsia="zh-CN"/>
        </w:rPr>
        <w:t>-</w:t>
      </w:r>
      <w:r w:rsidR="636E52BC" w:rsidRPr="3E56B61F">
        <w:rPr>
          <w:lang w:eastAsia="zh-CN"/>
        </w:rPr>
        <w:t xml:space="preserve">year period for the approval by the States Parties and to issue invoices based on these estimates at least 60 days before the start of the financial period or 60 days after the States Parties have adopted the budget for the next financial period, </w:t>
      </w:r>
      <w:r w:rsidRPr="3E56B61F">
        <w:rPr>
          <w:lang w:val="en-US" w:eastAsia="zh-CN"/>
        </w:rPr>
        <w:t>a</w:t>
      </w:r>
      <w:r w:rsidR="1863FEB5" w:rsidRPr="3E56B61F">
        <w:rPr>
          <w:lang w:val="en-US" w:eastAsia="zh-CN"/>
        </w:rPr>
        <w:t xml:space="preserve">dopted </w:t>
      </w:r>
      <w:r w:rsidRPr="3E56B61F">
        <w:rPr>
          <w:lang w:val="en-US" w:eastAsia="zh-CN"/>
        </w:rPr>
        <w:t xml:space="preserve"> the estimated costs of the Thir</w:t>
      </w:r>
      <w:r w:rsidR="059D1704" w:rsidRPr="3E56B61F">
        <w:rPr>
          <w:lang w:val="en-US" w:eastAsia="zh-CN"/>
        </w:rPr>
        <w:t xml:space="preserve">d </w:t>
      </w:r>
      <w:r w:rsidR="7901846B" w:rsidRPr="3E56B61F">
        <w:rPr>
          <w:lang w:val="en-US" w:eastAsia="zh-CN"/>
        </w:rPr>
        <w:t>R</w:t>
      </w:r>
      <w:r w:rsidR="059D1704" w:rsidRPr="3E56B61F">
        <w:rPr>
          <w:lang w:val="en-US" w:eastAsia="zh-CN"/>
        </w:rPr>
        <w:t xml:space="preserve">eview Conference </w:t>
      </w:r>
      <w:r w:rsidRPr="3E56B61F">
        <w:rPr>
          <w:lang w:val="en-US" w:eastAsia="zh-CN"/>
        </w:rPr>
        <w:t xml:space="preserve">of States Parties, as contained </w:t>
      </w:r>
      <w:r w:rsidR="1863FEB5" w:rsidRPr="3E56B61F">
        <w:rPr>
          <w:lang w:val="en-US" w:eastAsia="zh-CN"/>
        </w:rPr>
        <w:t>i</w:t>
      </w:r>
      <w:r w:rsidRPr="3E56B61F">
        <w:rPr>
          <w:lang w:val="en-US" w:eastAsia="zh-CN"/>
        </w:rPr>
        <w:t>n document CCM/MSP/2024/</w:t>
      </w:r>
      <w:r w:rsidR="059D1704" w:rsidRPr="3E56B61F">
        <w:rPr>
          <w:lang w:val="en-US" w:eastAsia="zh-CN"/>
        </w:rPr>
        <w:t>9</w:t>
      </w:r>
      <w:r w:rsidRPr="3E56B61F">
        <w:rPr>
          <w:lang w:val="en-US" w:eastAsia="zh-CN"/>
        </w:rPr>
        <w:t>.</w:t>
      </w:r>
    </w:p>
    <w:p w14:paraId="4E6A9434" w14:textId="0749B454" w:rsidR="00521A35" w:rsidRPr="00521A35" w:rsidRDefault="00521A35" w:rsidP="00CD1A11">
      <w:pPr>
        <w:pStyle w:val="ParNoG"/>
        <w:rPr>
          <w:lang w:val="en-US" w:eastAsia="zh-CN"/>
        </w:rPr>
      </w:pPr>
      <w:r w:rsidRPr="00521A35">
        <w:rPr>
          <w:lang w:val="en-US" w:eastAsia="zh-CN"/>
        </w:rPr>
        <w:t>A list of documents submitted to the Twelfth Meeting of States Parties is contained in Annex I to this report. These documents are available through the United Nations Official Documents System (</w:t>
      </w:r>
      <w:hyperlink r:id="rId13" w:history="1">
        <w:r w:rsidRPr="00521A35">
          <w:rPr>
            <w:rStyle w:val="Hyperlink"/>
            <w:rFonts w:asciiTheme="majorBidi" w:eastAsia="Calibri" w:hAnsiTheme="majorBidi" w:cstheme="majorBidi"/>
            <w:lang w:val="en-US" w:eastAsia="zh-CN"/>
          </w:rPr>
          <w:t>http://documents.un.org</w:t>
        </w:r>
      </w:hyperlink>
      <w:r w:rsidRPr="00521A35">
        <w:rPr>
          <w:lang w:val="en-US" w:eastAsia="zh-CN"/>
        </w:rPr>
        <w:t xml:space="preserve">). </w:t>
      </w:r>
    </w:p>
    <w:p w14:paraId="59764C3D" w14:textId="33766298" w:rsidR="00775674" w:rsidRPr="00775674" w:rsidRDefault="226A8956" w:rsidP="00CD1A11">
      <w:pPr>
        <w:pStyle w:val="ParNoG"/>
        <w:rPr>
          <w:lang w:val="en-US" w:eastAsia="zh-CN"/>
        </w:rPr>
      </w:pPr>
      <w:r w:rsidRPr="3E56B61F">
        <w:rPr>
          <w:lang w:val="en-US" w:eastAsia="zh-CN"/>
        </w:rPr>
        <w:t>At its s</w:t>
      </w:r>
      <w:r w:rsidR="04869FEC" w:rsidRPr="3E56B61F">
        <w:rPr>
          <w:lang w:val="en-US" w:eastAsia="zh-CN"/>
        </w:rPr>
        <w:t>ixt</w:t>
      </w:r>
      <w:r w:rsidRPr="3E56B61F">
        <w:rPr>
          <w:lang w:val="en-US" w:eastAsia="zh-CN"/>
        </w:rPr>
        <w:t>h plenary meeting, on 1</w:t>
      </w:r>
      <w:r w:rsidR="059D1704" w:rsidRPr="3E56B61F">
        <w:rPr>
          <w:lang w:val="en-US" w:eastAsia="zh-CN"/>
        </w:rPr>
        <w:t>3</w:t>
      </w:r>
      <w:r w:rsidRPr="3E56B61F">
        <w:rPr>
          <w:lang w:val="en-US" w:eastAsia="zh-CN"/>
        </w:rPr>
        <w:t xml:space="preserve"> September 202</w:t>
      </w:r>
      <w:r w:rsidR="059D1704" w:rsidRPr="3E56B61F">
        <w:rPr>
          <w:lang w:val="en-US" w:eastAsia="zh-CN"/>
        </w:rPr>
        <w:t>4</w:t>
      </w:r>
      <w:r w:rsidRPr="3E56B61F">
        <w:rPr>
          <w:lang w:val="en-US" w:eastAsia="zh-CN"/>
        </w:rPr>
        <w:t xml:space="preserve">, the </w:t>
      </w:r>
      <w:r w:rsidR="059D1704" w:rsidRPr="3E56B61F">
        <w:rPr>
          <w:lang w:val="en-US" w:eastAsia="zh-CN"/>
        </w:rPr>
        <w:t xml:space="preserve">Twelfth </w:t>
      </w:r>
      <w:r w:rsidRPr="3E56B61F">
        <w:rPr>
          <w:lang w:val="en-US" w:eastAsia="zh-CN"/>
        </w:rPr>
        <w:t>Meeting of States Parties adopted its final report, as contained in CCM/MSP/202</w:t>
      </w:r>
      <w:r w:rsidR="059D1704" w:rsidRPr="3E56B61F">
        <w:rPr>
          <w:lang w:val="en-US" w:eastAsia="zh-CN"/>
        </w:rPr>
        <w:t>4</w:t>
      </w:r>
      <w:r w:rsidRPr="3E56B61F">
        <w:rPr>
          <w:lang w:val="en-US" w:eastAsia="zh-CN"/>
        </w:rPr>
        <w:t>/CRP.1, to be issued as document CCM/MSP/202</w:t>
      </w:r>
      <w:r w:rsidR="14B24435" w:rsidRPr="3E56B61F">
        <w:rPr>
          <w:lang w:val="en-US" w:eastAsia="zh-CN"/>
        </w:rPr>
        <w:t>4</w:t>
      </w:r>
      <w:r w:rsidRPr="3E56B61F">
        <w:rPr>
          <w:lang w:val="en-US" w:eastAsia="zh-CN"/>
        </w:rPr>
        <w:t>/</w:t>
      </w:r>
      <w:r w:rsidR="74632398" w:rsidRPr="3E56B61F">
        <w:rPr>
          <w:lang w:val="en-US" w:eastAsia="zh-CN"/>
        </w:rPr>
        <w:t>1</w:t>
      </w:r>
      <w:r w:rsidR="03F9A570" w:rsidRPr="3E56B61F">
        <w:rPr>
          <w:lang w:val="en-US" w:eastAsia="zh-CN"/>
        </w:rPr>
        <w:t>1</w:t>
      </w:r>
      <w:r w:rsidRPr="3E56B61F">
        <w:rPr>
          <w:lang w:val="en-US" w:eastAsia="zh-CN"/>
        </w:rPr>
        <w:t>.</w:t>
      </w:r>
    </w:p>
    <w:p w14:paraId="2A57B832" w14:textId="77777777" w:rsidR="00775674" w:rsidRPr="00775674" w:rsidRDefault="00775674" w:rsidP="00775674">
      <w:pPr>
        <w:spacing w:line="240" w:lineRule="auto"/>
        <w:rPr>
          <w:rFonts w:asciiTheme="majorBidi" w:eastAsia="Calibri" w:hAnsiTheme="majorBidi" w:cstheme="majorBidi"/>
          <w:u w:val="single"/>
          <w:lang w:val="en-US" w:eastAsia="zh-CN"/>
        </w:rPr>
      </w:pPr>
      <w:r w:rsidRPr="00775674">
        <w:rPr>
          <w:rFonts w:asciiTheme="majorBidi" w:eastAsia="Calibri" w:hAnsiTheme="majorBidi" w:cstheme="majorBidi"/>
          <w:u w:val="single"/>
          <w:lang w:val="en-US" w:eastAsia="zh-CN"/>
        </w:rPr>
        <w:br w:type="page"/>
      </w:r>
    </w:p>
    <w:p w14:paraId="02422F8F" w14:textId="0791BB0F" w:rsidR="00775674" w:rsidRDefault="00CD1A11" w:rsidP="00CD1A11">
      <w:pPr>
        <w:pStyle w:val="HChG"/>
      </w:pPr>
      <w:r>
        <w:lastRenderedPageBreak/>
        <w:tab/>
      </w:r>
      <w:r>
        <w:tab/>
      </w:r>
      <w:r w:rsidR="00775674" w:rsidRPr="00775674">
        <w:t>Annex</w:t>
      </w:r>
    </w:p>
    <w:p w14:paraId="402728D0" w14:textId="209F28A1" w:rsidR="00775674" w:rsidRDefault="00775674" w:rsidP="00775674">
      <w:pPr>
        <w:keepNext/>
        <w:keepLines/>
        <w:tabs>
          <w:tab w:val="right" w:pos="851"/>
        </w:tabs>
        <w:spacing w:before="360" w:after="240" w:line="300" w:lineRule="exact"/>
        <w:ind w:left="1134" w:right="1134" w:hanging="1134"/>
        <w:outlineLvl w:val="1"/>
        <w:rPr>
          <w:rFonts w:asciiTheme="majorBidi" w:eastAsia="Calibri" w:hAnsiTheme="majorBidi" w:cstheme="majorBidi"/>
          <w:b/>
          <w:sz w:val="28"/>
        </w:rPr>
      </w:pPr>
      <w:r w:rsidRPr="00775674">
        <w:rPr>
          <w:rFonts w:asciiTheme="majorBidi" w:eastAsia="Calibri" w:hAnsiTheme="majorBidi" w:cstheme="majorBidi"/>
          <w:b/>
          <w:sz w:val="28"/>
        </w:rPr>
        <w:tab/>
      </w:r>
      <w:r w:rsidRPr="00775674">
        <w:rPr>
          <w:rFonts w:asciiTheme="majorBidi" w:eastAsia="Calibri" w:hAnsiTheme="majorBidi" w:cstheme="majorBidi"/>
          <w:b/>
          <w:sz w:val="28"/>
        </w:rPr>
        <w:tab/>
        <w:t xml:space="preserve">List of documents submitted to the </w:t>
      </w:r>
      <w:r w:rsidR="006A6043">
        <w:rPr>
          <w:rFonts w:asciiTheme="majorBidi" w:eastAsia="Calibri" w:hAnsiTheme="majorBidi" w:cstheme="majorBidi"/>
          <w:b/>
          <w:sz w:val="28"/>
        </w:rPr>
        <w:t>Twelfth</w:t>
      </w:r>
      <w:r w:rsidRPr="00775674">
        <w:rPr>
          <w:rFonts w:asciiTheme="majorBidi" w:eastAsia="Calibri" w:hAnsiTheme="majorBidi" w:cstheme="majorBidi"/>
          <w:b/>
          <w:sz w:val="28"/>
        </w:rPr>
        <w:t xml:space="preserve"> Meeting of State Parties to the Convention on Cluster Munitions</w:t>
      </w:r>
    </w:p>
    <w:tbl>
      <w:tblPr>
        <w:tblStyle w:val="TableGrid1"/>
        <w:tblW w:w="736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671"/>
      </w:tblGrid>
      <w:tr w:rsidR="00775674" w:rsidRPr="00775674" w14:paraId="0DFB529A" w14:textId="77777777" w:rsidTr="3E56B61F">
        <w:trPr>
          <w:tblHeader/>
        </w:trPr>
        <w:tc>
          <w:tcPr>
            <w:tcW w:w="2694" w:type="dxa"/>
            <w:tcBorders>
              <w:top w:val="single" w:sz="4" w:space="0" w:color="auto"/>
              <w:left w:val="nil"/>
              <w:bottom w:val="single" w:sz="12" w:space="0" w:color="auto"/>
              <w:right w:val="nil"/>
            </w:tcBorders>
            <w:vAlign w:val="bottom"/>
            <w:hideMark/>
          </w:tcPr>
          <w:p w14:paraId="4337E44F" w14:textId="7871B76C" w:rsidR="210F9D7D" w:rsidRDefault="7ADC8EC3" w:rsidP="3E56B61F">
            <w:pPr>
              <w:spacing w:before="80" w:after="80"/>
              <w:ind w:right="113"/>
              <w:rPr>
                <w:rFonts w:eastAsia="Times New Roman" w:cs="Times New Roman"/>
                <w:i/>
                <w:iCs/>
                <w:sz w:val="16"/>
                <w:szCs w:val="16"/>
              </w:rPr>
            </w:pPr>
            <w:r w:rsidRPr="3E56B61F">
              <w:rPr>
                <w:rFonts w:eastAsia="Times New Roman" w:cs="Times New Roman"/>
                <w:i/>
                <w:iCs/>
                <w:sz w:val="16"/>
                <w:szCs w:val="16"/>
              </w:rPr>
              <w:t xml:space="preserve">Symbol </w:t>
            </w:r>
          </w:p>
        </w:tc>
        <w:tc>
          <w:tcPr>
            <w:tcW w:w="4671" w:type="dxa"/>
            <w:tcBorders>
              <w:top w:val="single" w:sz="4" w:space="0" w:color="auto"/>
              <w:left w:val="nil"/>
              <w:bottom w:val="single" w:sz="12" w:space="0" w:color="auto"/>
              <w:right w:val="nil"/>
            </w:tcBorders>
            <w:vAlign w:val="bottom"/>
            <w:hideMark/>
          </w:tcPr>
          <w:p w14:paraId="379ED25A" w14:textId="03C9A831" w:rsidR="210F9D7D" w:rsidRDefault="7ADC8EC3" w:rsidP="3E56B61F">
            <w:pPr>
              <w:spacing w:before="80" w:after="80"/>
              <w:ind w:right="113"/>
              <w:rPr>
                <w:rFonts w:eastAsia="Times New Roman" w:cs="Times New Roman"/>
                <w:i/>
                <w:iCs/>
                <w:sz w:val="16"/>
                <w:szCs w:val="16"/>
              </w:rPr>
            </w:pPr>
            <w:r w:rsidRPr="3E56B61F">
              <w:rPr>
                <w:rFonts w:eastAsia="Times New Roman" w:cs="Times New Roman"/>
                <w:i/>
                <w:iCs/>
                <w:sz w:val="16"/>
                <w:szCs w:val="16"/>
              </w:rPr>
              <w:t xml:space="preserve">Title </w:t>
            </w:r>
          </w:p>
        </w:tc>
      </w:tr>
      <w:tr w:rsidR="00775674" w:rsidRPr="00775674" w14:paraId="5032A561" w14:textId="77777777" w:rsidTr="3E56B61F">
        <w:trPr>
          <w:trHeight w:hRule="exact" w:val="113"/>
          <w:tblHeader/>
        </w:trPr>
        <w:tc>
          <w:tcPr>
            <w:tcW w:w="2694" w:type="dxa"/>
            <w:tcBorders>
              <w:top w:val="single" w:sz="12" w:space="0" w:color="auto"/>
              <w:left w:val="nil"/>
              <w:bottom w:val="nil"/>
              <w:right w:val="nil"/>
            </w:tcBorders>
          </w:tcPr>
          <w:p w14:paraId="52CDEE01" w14:textId="103689DA" w:rsidR="210F9D7D" w:rsidRDefault="7ADC8EC3" w:rsidP="00B50488">
            <w:pPr>
              <w:spacing w:before="40" w:after="120"/>
              <w:ind w:right="113"/>
              <w:rPr>
                <w:rFonts w:eastAsia="Times New Roman" w:cs="Times New Roman"/>
              </w:rPr>
            </w:pPr>
            <w:r w:rsidRPr="3E56B61F">
              <w:rPr>
                <w:rFonts w:eastAsia="Times New Roman" w:cs="Times New Roman"/>
              </w:rPr>
              <w:t xml:space="preserve"> </w:t>
            </w:r>
          </w:p>
        </w:tc>
        <w:tc>
          <w:tcPr>
            <w:tcW w:w="4671" w:type="dxa"/>
            <w:tcBorders>
              <w:top w:val="single" w:sz="12" w:space="0" w:color="auto"/>
              <w:left w:val="nil"/>
              <w:bottom w:val="nil"/>
              <w:right w:val="nil"/>
            </w:tcBorders>
          </w:tcPr>
          <w:p w14:paraId="271A6A70" w14:textId="2C155D32" w:rsidR="210F9D7D" w:rsidRDefault="7ADC8EC3" w:rsidP="00B50488">
            <w:pPr>
              <w:spacing w:before="40" w:after="120"/>
              <w:ind w:right="113"/>
              <w:rPr>
                <w:rFonts w:eastAsia="Times New Roman" w:cs="Times New Roman"/>
              </w:rPr>
            </w:pPr>
            <w:r w:rsidRPr="3E56B61F">
              <w:rPr>
                <w:rFonts w:eastAsia="Times New Roman" w:cs="Times New Roman"/>
              </w:rPr>
              <w:t xml:space="preserve"> </w:t>
            </w:r>
          </w:p>
        </w:tc>
      </w:tr>
      <w:tr w:rsidR="00775674" w:rsidRPr="00775674" w14:paraId="626941E6" w14:textId="77777777" w:rsidTr="3E56B61F">
        <w:tc>
          <w:tcPr>
            <w:tcW w:w="2694" w:type="dxa"/>
          </w:tcPr>
          <w:p w14:paraId="70EDBD93" w14:textId="08C83AF3" w:rsidR="210F9D7D" w:rsidRDefault="7ADC8EC3" w:rsidP="00B50488">
            <w:pPr>
              <w:spacing w:before="40" w:after="120"/>
              <w:ind w:right="113"/>
              <w:rPr>
                <w:rFonts w:eastAsia="Times New Roman" w:cs="Times New Roman"/>
              </w:rPr>
            </w:pPr>
            <w:r w:rsidRPr="3E56B61F">
              <w:rPr>
                <w:rFonts w:eastAsia="Times New Roman" w:cs="Times New Roman"/>
              </w:rPr>
              <w:t>CCM/MSP/2024/1</w:t>
            </w:r>
          </w:p>
        </w:tc>
        <w:tc>
          <w:tcPr>
            <w:tcW w:w="4671" w:type="dxa"/>
          </w:tcPr>
          <w:p w14:paraId="14F79ECA" w14:textId="584CA8E9" w:rsidR="210F9D7D" w:rsidRDefault="210F9D7D" w:rsidP="00B50488">
            <w:pPr>
              <w:spacing w:before="40" w:after="120"/>
              <w:ind w:right="113"/>
              <w:rPr>
                <w:rFonts w:eastAsia="Times New Roman" w:cs="Times New Roman"/>
              </w:rPr>
            </w:pPr>
            <w:r w:rsidRPr="4BAEF372">
              <w:rPr>
                <w:rFonts w:eastAsia="Times New Roman" w:cs="Times New Roman"/>
              </w:rPr>
              <w:t>Provisional agenda</w:t>
            </w:r>
            <w:r w:rsidR="15F5FE83" w:rsidRPr="4BAEF372">
              <w:rPr>
                <w:rFonts w:eastAsia="Times New Roman" w:cs="Times New Roman"/>
              </w:rPr>
              <w:t>. Submitted by the President</w:t>
            </w:r>
          </w:p>
        </w:tc>
      </w:tr>
      <w:tr w:rsidR="00775674" w:rsidRPr="00775674" w14:paraId="21D1AA96" w14:textId="77777777" w:rsidTr="3E56B61F">
        <w:tc>
          <w:tcPr>
            <w:tcW w:w="2694" w:type="dxa"/>
          </w:tcPr>
          <w:p w14:paraId="223CB134" w14:textId="3A061A66" w:rsidR="210F9D7D" w:rsidRDefault="7ADC8EC3" w:rsidP="00B50488">
            <w:pPr>
              <w:spacing w:before="40" w:after="120"/>
              <w:ind w:right="113"/>
              <w:rPr>
                <w:rFonts w:eastAsia="Times New Roman" w:cs="Times New Roman"/>
              </w:rPr>
            </w:pPr>
            <w:r w:rsidRPr="3E56B61F">
              <w:rPr>
                <w:rFonts w:eastAsia="Times New Roman" w:cs="Times New Roman"/>
              </w:rPr>
              <w:t>CCM/MSP/2024/2</w:t>
            </w:r>
          </w:p>
        </w:tc>
        <w:tc>
          <w:tcPr>
            <w:tcW w:w="4671" w:type="dxa"/>
          </w:tcPr>
          <w:p w14:paraId="696952FE" w14:textId="3ACA0C64" w:rsidR="210F9D7D" w:rsidRDefault="7ADC8EC3" w:rsidP="4BAEF372">
            <w:pPr>
              <w:spacing w:before="40" w:after="120"/>
              <w:ind w:right="113"/>
              <w:rPr>
                <w:rFonts w:eastAsia="Times New Roman" w:cs="Times New Roman"/>
              </w:rPr>
            </w:pPr>
            <w:r w:rsidRPr="3E56B61F">
              <w:rPr>
                <w:rFonts w:eastAsia="Times New Roman" w:cs="Times New Roman"/>
              </w:rPr>
              <w:t>Provisional Annotated Programme of Work</w:t>
            </w:r>
            <w:r w:rsidR="750FE7A0" w:rsidRPr="3E56B61F">
              <w:rPr>
                <w:rFonts w:eastAsia="Times New Roman" w:cs="Times New Roman"/>
              </w:rPr>
              <w:t>. Submitted by the President</w:t>
            </w:r>
          </w:p>
        </w:tc>
      </w:tr>
      <w:tr w:rsidR="00775674" w:rsidRPr="00775674" w14:paraId="74BB3878" w14:textId="77777777" w:rsidTr="3E56B61F">
        <w:tc>
          <w:tcPr>
            <w:tcW w:w="2694" w:type="dxa"/>
          </w:tcPr>
          <w:p w14:paraId="186F9FB0" w14:textId="0DE448AD" w:rsidR="210F9D7D" w:rsidRDefault="7ADC8EC3" w:rsidP="00B50488">
            <w:pPr>
              <w:spacing w:before="40" w:after="120"/>
              <w:ind w:right="113"/>
              <w:rPr>
                <w:rFonts w:eastAsia="Times New Roman" w:cs="Times New Roman"/>
              </w:rPr>
            </w:pPr>
            <w:r w:rsidRPr="3E56B61F">
              <w:rPr>
                <w:rFonts w:eastAsia="Times New Roman" w:cs="Times New Roman"/>
              </w:rPr>
              <w:t>CCM/MSP/2024/2/Rev.1</w:t>
            </w:r>
          </w:p>
        </w:tc>
        <w:tc>
          <w:tcPr>
            <w:tcW w:w="4671" w:type="dxa"/>
          </w:tcPr>
          <w:p w14:paraId="2275366E" w14:textId="2FAEDA6F" w:rsidR="210F9D7D" w:rsidRDefault="7ADC8EC3" w:rsidP="4BAEF372">
            <w:pPr>
              <w:spacing w:before="40" w:after="120"/>
              <w:ind w:right="113"/>
              <w:rPr>
                <w:rFonts w:eastAsia="Times New Roman" w:cs="Times New Roman"/>
              </w:rPr>
            </w:pPr>
            <w:r w:rsidRPr="3E56B61F">
              <w:rPr>
                <w:rFonts w:eastAsia="Times New Roman" w:cs="Times New Roman"/>
              </w:rPr>
              <w:t>Revised Provisional Annotated Programme of Work</w:t>
            </w:r>
            <w:r w:rsidR="465314F2" w:rsidRPr="3E56B61F">
              <w:rPr>
                <w:rFonts w:eastAsia="Times New Roman" w:cs="Times New Roman"/>
              </w:rPr>
              <w:t>. Submitted by the President</w:t>
            </w:r>
          </w:p>
        </w:tc>
      </w:tr>
      <w:tr w:rsidR="00775674" w:rsidRPr="00775674" w14:paraId="5937E05C" w14:textId="77777777" w:rsidTr="3E56B61F">
        <w:tc>
          <w:tcPr>
            <w:tcW w:w="2694" w:type="dxa"/>
          </w:tcPr>
          <w:p w14:paraId="47A5705F" w14:textId="6C806373" w:rsidR="210F9D7D" w:rsidRDefault="7ADC8EC3" w:rsidP="00B50488">
            <w:pPr>
              <w:spacing w:before="40" w:after="120"/>
              <w:ind w:right="113"/>
              <w:rPr>
                <w:rFonts w:eastAsia="Times New Roman" w:cs="Times New Roman"/>
              </w:rPr>
            </w:pPr>
            <w:r w:rsidRPr="3E56B61F">
              <w:rPr>
                <w:rFonts w:eastAsia="Times New Roman" w:cs="Times New Roman"/>
              </w:rPr>
              <w:t>CCM/MSP/2024/3</w:t>
            </w:r>
          </w:p>
        </w:tc>
        <w:tc>
          <w:tcPr>
            <w:tcW w:w="4671" w:type="dxa"/>
          </w:tcPr>
          <w:p w14:paraId="786A8EE0" w14:textId="693B7CF8" w:rsidR="210F9D7D" w:rsidRDefault="7ADC8EC3" w:rsidP="00B50488">
            <w:pPr>
              <w:spacing w:before="40" w:after="120"/>
              <w:ind w:right="113"/>
              <w:rPr>
                <w:rFonts w:eastAsia="Times New Roman" w:cs="Times New Roman"/>
              </w:rPr>
            </w:pPr>
            <w:r w:rsidRPr="3E56B61F">
              <w:rPr>
                <w:rFonts w:eastAsia="Times New Roman" w:cs="Times New Roman"/>
              </w:rPr>
              <w:t>Implementation Support Unit 2025 Work Plan and Budget</w:t>
            </w:r>
            <w:r w:rsidR="1CA956E9" w:rsidRPr="3E56B61F">
              <w:rPr>
                <w:rFonts w:eastAsia="Times New Roman" w:cs="Times New Roman"/>
              </w:rPr>
              <w:t>. Submitted by the Director of ISU</w:t>
            </w:r>
          </w:p>
        </w:tc>
      </w:tr>
      <w:tr w:rsidR="00775674" w:rsidRPr="00775674" w14:paraId="53CE3412" w14:textId="77777777" w:rsidTr="3E56B61F">
        <w:tc>
          <w:tcPr>
            <w:tcW w:w="2694" w:type="dxa"/>
          </w:tcPr>
          <w:p w14:paraId="005131BB" w14:textId="665DA187" w:rsidR="210F9D7D" w:rsidRDefault="7ADC8EC3" w:rsidP="00B50488">
            <w:pPr>
              <w:spacing w:before="40" w:after="120"/>
              <w:ind w:right="113"/>
              <w:rPr>
                <w:rFonts w:eastAsia="Times New Roman" w:cs="Times New Roman"/>
              </w:rPr>
            </w:pPr>
            <w:r w:rsidRPr="3E56B61F">
              <w:rPr>
                <w:rFonts w:eastAsia="Times New Roman" w:cs="Times New Roman"/>
              </w:rPr>
              <w:t>CCM/MSP/2024/4</w:t>
            </w:r>
          </w:p>
        </w:tc>
        <w:tc>
          <w:tcPr>
            <w:tcW w:w="4671" w:type="dxa"/>
          </w:tcPr>
          <w:p w14:paraId="1EBAA2B7" w14:textId="548AD46E" w:rsidR="210F9D7D" w:rsidRDefault="7ADC8EC3" w:rsidP="00B50488">
            <w:pPr>
              <w:spacing w:before="40" w:after="120"/>
              <w:ind w:right="113"/>
              <w:rPr>
                <w:rFonts w:eastAsia="Times New Roman" w:cs="Times New Roman"/>
              </w:rPr>
            </w:pPr>
            <w:r w:rsidRPr="3E56B61F">
              <w:rPr>
                <w:rFonts w:eastAsia="Times New Roman" w:cs="Times New Roman"/>
              </w:rPr>
              <w:t>Analysis of Chad’s request of deadline extension under Article 4.1 of the Convention on Cluster Munitions</w:t>
            </w:r>
          </w:p>
        </w:tc>
      </w:tr>
      <w:tr w:rsidR="00775674" w:rsidRPr="00775674" w14:paraId="1B2233F7" w14:textId="77777777" w:rsidTr="3E56B61F">
        <w:tc>
          <w:tcPr>
            <w:tcW w:w="2694" w:type="dxa"/>
          </w:tcPr>
          <w:p w14:paraId="33957FF0" w14:textId="205FC6AA" w:rsidR="210F9D7D" w:rsidRDefault="7ADC8EC3" w:rsidP="00B50488">
            <w:pPr>
              <w:spacing w:before="40" w:after="120"/>
              <w:ind w:right="113"/>
              <w:rPr>
                <w:rFonts w:eastAsia="Times New Roman" w:cs="Times New Roman"/>
              </w:rPr>
            </w:pPr>
            <w:r w:rsidRPr="3E56B61F">
              <w:rPr>
                <w:rFonts w:eastAsia="Times New Roman" w:cs="Times New Roman"/>
              </w:rPr>
              <w:t>CCM/MSP/2024/5</w:t>
            </w:r>
          </w:p>
        </w:tc>
        <w:tc>
          <w:tcPr>
            <w:tcW w:w="4671" w:type="dxa"/>
          </w:tcPr>
          <w:p w14:paraId="705CE0D4" w14:textId="37E35CDE" w:rsidR="210F9D7D" w:rsidRDefault="7ADC8EC3" w:rsidP="00B50488">
            <w:pPr>
              <w:spacing w:before="40" w:after="120"/>
              <w:ind w:right="113"/>
              <w:rPr>
                <w:rFonts w:eastAsia="Times New Roman" w:cs="Times New Roman"/>
              </w:rPr>
            </w:pPr>
            <w:r w:rsidRPr="3E56B61F">
              <w:rPr>
                <w:rFonts w:eastAsia="Times New Roman" w:cs="Times New Roman"/>
              </w:rPr>
              <w:t>Analysis of Germany’s request of deadline extension under Article 4.1 of the Convention on Cluster Munitions</w:t>
            </w:r>
          </w:p>
        </w:tc>
      </w:tr>
      <w:tr w:rsidR="00775674" w:rsidRPr="00775674" w14:paraId="30E1A60E" w14:textId="77777777" w:rsidTr="3E56B61F">
        <w:tc>
          <w:tcPr>
            <w:tcW w:w="2694" w:type="dxa"/>
          </w:tcPr>
          <w:p w14:paraId="431AA967" w14:textId="6BE6D10F" w:rsidR="210F9D7D" w:rsidRDefault="7ADC8EC3" w:rsidP="00B50488">
            <w:pPr>
              <w:spacing w:before="40" w:after="120"/>
              <w:ind w:right="113"/>
              <w:rPr>
                <w:rFonts w:eastAsia="Times New Roman" w:cs="Times New Roman"/>
              </w:rPr>
            </w:pPr>
            <w:r w:rsidRPr="3E56B61F">
              <w:rPr>
                <w:rFonts w:eastAsia="Times New Roman" w:cs="Times New Roman"/>
              </w:rPr>
              <w:t>CCM/MSP/2024/6</w:t>
            </w:r>
          </w:p>
        </w:tc>
        <w:tc>
          <w:tcPr>
            <w:tcW w:w="4671" w:type="dxa"/>
          </w:tcPr>
          <w:p w14:paraId="0928B69D" w14:textId="2AC52539" w:rsidR="210F9D7D" w:rsidRDefault="7ADC8EC3" w:rsidP="00B50488">
            <w:pPr>
              <w:spacing w:before="40" w:after="120"/>
              <w:ind w:right="113"/>
              <w:rPr>
                <w:rFonts w:eastAsia="Times New Roman" w:cs="Times New Roman"/>
              </w:rPr>
            </w:pPr>
            <w:r w:rsidRPr="3E56B61F">
              <w:rPr>
                <w:rFonts w:eastAsia="Times New Roman" w:cs="Times New Roman"/>
              </w:rPr>
              <w:t>Analysis of Lao People's Democratic Republic’s deadline extension request under Article 4.1 of the Convention on Cluster Munitions</w:t>
            </w:r>
          </w:p>
        </w:tc>
      </w:tr>
      <w:tr w:rsidR="00775674" w:rsidRPr="00775674" w14:paraId="202AA79A" w14:textId="77777777" w:rsidTr="3E56B61F">
        <w:tc>
          <w:tcPr>
            <w:tcW w:w="2694" w:type="dxa"/>
          </w:tcPr>
          <w:p w14:paraId="16258930" w14:textId="2509ED39" w:rsidR="210F9D7D" w:rsidRDefault="7ADC8EC3" w:rsidP="00B50488">
            <w:pPr>
              <w:spacing w:before="40" w:after="120"/>
              <w:ind w:right="113"/>
              <w:rPr>
                <w:rFonts w:eastAsia="Times New Roman" w:cs="Times New Roman"/>
              </w:rPr>
            </w:pPr>
            <w:r w:rsidRPr="3E56B61F">
              <w:rPr>
                <w:rFonts w:eastAsia="Times New Roman" w:cs="Times New Roman"/>
              </w:rPr>
              <w:t>CCM/MSP/2024/7</w:t>
            </w:r>
          </w:p>
        </w:tc>
        <w:tc>
          <w:tcPr>
            <w:tcW w:w="4671" w:type="dxa"/>
          </w:tcPr>
          <w:p w14:paraId="19A253E1" w14:textId="2EF377E5" w:rsidR="210F9D7D" w:rsidRDefault="7ADC8EC3" w:rsidP="00B50488">
            <w:pPr>
              <w:spacing w:before="40" w:after="120"/>
              <w:ind w:right="113"/>
              <w:rPr>
                <w:rFonts w:eastAsia="Times New Roman" w:cs="Times New Roman"/>
              </w:rPr>
            </w:pPr>
            <w:r w:rsidRPr="3E56B61F">
              <w:rPr>
                <w:rFonts w:eastAsia="Times New Roman" w:cs="Times New Roman"/>
              </w:rPr>
              <w:t>Convention on Cluster Munitions 12MSP Progress Report: Monitoring progress in implementing the Lausanne Action Plan</w:t>
            </w:r>
          </w:p>
        </w:tc>
      </w:tr>
      <w:tr w:rsidR="00775674" w:rsidRPr="00775674" w14:paraId="45A552CE" w14:textId="77777777" w:rsidTr="3E56B61F">
        <w:tc>
          <w:tcPr>
            <w:tcW w:w="2694" w:type="dxa"/>
          </w:tcPr>
          <w:p w14:paraId="4E077625" w14:textId="5ECBC80B" w:rsidR="210F9D7D" w:rsidRDefault="7ADC8EC3" w:rsidP="00B50488">
            <w:pPr>
              <w:spacing w:before="40" w:after="120"/>
              <w:ind w:right="113"/>
              <w:rPr>
                <w:rFonts w:eastAsia="Times New Roman" w:cs="Times New Roman"/>
              </w:rPr>
            </w:pPr>
            <w:r w:rsidRPr="3E56B61F">
              <w:rPr>
                <w:rFonts w:eastAsia="Times New Roman" w:cs="Times New Roman"/>
              </w:rPr>
              <w:t>CCM/MSP/2024/8</w:t>
            </w:r>
          </w:p>
        </w:tc>
        <w:tc>
          <w:tcPr>
            <w:tcW w:w="4671" w:type="dxa"/>
          </w:tcPr>
          <w:p w14:paraId="11DCE390" w14:textId="01ADE302" w:rsidR="210F9D7D" w:rsidRDefault="7ADC8EC3" w:rsidP="00B50488">
            <w:pPr>
              <w:spacing w:before="40" w:after="120"/>
              <w:ind w:right="113"/>
              <w:rPr>
                <w:rFonts w:eastAsia="Times New Roman" w:cs="Times New Roman"/>
              </w:rPr>
            </w:pPr>
            <w:r w:rsidRPr="3E56B61F">
              <w:rPr>
                <w:rFonts w:eastAsia="Times New Roman" w:cs="Times New Roman"/>
              </w:rPr>
              <w:t>Revised estimated costs of the Thirteenth Meeting of States Parties of the Convention on Cluster Munitions. Note by the Secretariat</w:t>
            </w:r>
          </w:p>
        </w:tc>
      </w:tr>
      <w:tr w:rsidR="00775674" w:rsidRPr="00775674" w14:paraId="73A6325D" w14:textId="77777777" w:rsidTr="3E56B61F">
        <w:tc>
          <w:tcPr>
            <w:tcW w:w="2694" w:type="dxa"/>
          </w:tcPr>
          <w:p w14:paraId="38101B1F" w14:textId="37B89502" w:rsidR="210F9D7D" w:rsidRDefault="210F9D7D" w:rsidP="00B50488">
            <w:pPr>
              <w:spacing w:before="40" w:after="120"/>
              <w:ind w:right="113"/>
              <w:rPr>
                <w:rFonts w:eastAsia="Times New Roman" w:cs="Times New Roman"/>
              </w:rPr>
            </w:pPr>
            <w:r w:rsidRPr="210F9D7D">
              <w:rPr>
                <w:rFonts w:eastAsia="Times New Roman" w:cs="Times New Roman"/>
              </w:rPr>
              <w:t>CCM/MSP/2024/9</w:t>
            </w:r>
          </w:p>
        </w:tc>
        <w:tc>
          <w:tcPr>
            <w:tcW w:w="4671" w:type="dxa"/>
            <w:vAlign w:val="center"/>
          </w:tcPr>
          <w:p w14:paraId="58000D6C" w14:textId="74659C02" w:rsidR="210F9D7D" w:rsidRDefault="210F9D7D" w:rsidP="00B50488">
            <w:pPr>
              <w:spacing w:before="40" w:after="120"/>
              <w:ind w:right="113"/>
              <w:rPr>
                <w:rFonts w:eastAsia="Times New Roman" w:cs="Times New Roman"/>
              </w:rPr>
            </w:pPr>
            <w:r w:rsidRPr="210F9D7D">
              <w:rPr>
                <w:rFonts w:eastAsia="Times New Roman" w:cs="Times New Roman"/>
              </w:rPr>
              <w:t>Estimated costs of the 2026 Review Conference of the Convention on Cluster Munitions and its Preparatory Committees. Note by the Secretariat</w:t>
            </w:r>
          </w:p>
        </w:tc>
      </w:tr>
      <w:tr w:rsidR="00BF7E0A" w:rsidRPr="00775674" w14:paraId="319C3924" w14:textId="77777777" w:rsidTr="3E56B61F">
        <w:trPr>
          <w:trHeight w:val="300"/>
        </w:trPr>
        <w:tc>
          <w:tcPr>
            <w:tcW w:w="2694" w:type="dxa"/>
          </w:tcPr>
          <w:p w14:paraId="2F25E1B2" w14:textId="36588C7E" w:rsidR="00BF7E0A" w:rsidRPr="210F9D7D" w:rsidRDefault="00BF7E0A" w:rsidP="00B50488">
            <w:pPr>
              <w:spacing w:before="40" w:after="120"/>
              <w:ind w:right="113"/>
              <w:rPr>
                <w:rFonts w:eastAsia="Times New Roman" w:cs="Times New Roman"/>
              </w:rPr>
            </w:pPr>
            <w:r w:rsidRPr="4BAEF372">
              <w:rPr>
                <w:rFonts w:eastAsia="Times New Roman" w:cs="Times New Roman"/>
              </w:rPr>
              <w:t>CCM/MSP/2024/</w:t>
            </w:r>
            <w:r w:rsidR="00C308D7" w:rsidRPr="4BAEF372">
              <w:rPr>
                <w:rFonts w:eastAsia="Times New Roman" w:cs="Times New Roman"/>
              </w:rPr>
              <w:t>10</w:t>
            </w:r>
          </w:p>
        </w:tc>
        <w:tc>
          <w:tcPr>
            <w:tcW w:w="4671" w:type="dxa"/>
            <w:vAlign w:val="center"/>
          </w:tcPr>
          <w:p w14:paraId="5B50460D" w14:textId="229E5B0D" w:rsidR="00BF7E0A" w:rsidRPr="210F9D7D" w:rsidRDefault="65DAEE75" w:rsidP="3E56B61F">
            <w:pPr>
              <w:spacing w:after="160" w:line="276" w:lineRule="auto"/>
              <w:rPr>
                <w:rFonts w:eastAsia="Times New Roman" w:cs="Times New Roman"/>
              </w:rPr>
            </w:pPr>
            <w:r w:rsidRPr="3E56B61F">
              <w:rPr>
                <w:rFonts w:eastAsia="Times New Roman" w:cs="Times New Roman"/>
              </w:rPr>
              <w:t>Convention on Cluster Munitions Implementation Support Unit – 2023 Annual Report</w:t>
            </w:r>
          </w:p>
        </w:tc>
      </w:tr>
      <w:tr w:rsidR="00775674" w:rsidRPr="00775674" w14:paraId="3074E4EB" w14:textId="77777777" w:rsidTr="3E56B61F">
        <w:tc>
          <w:tcPr>
            <w:tcW w:w="2694" w:type="dxa"/>
          </w:tcPr>
          <w:p w14:paraId="60051487" w14:textId="542C192A" w:rsidR="210F9D7D" w:rsidRDefault="7ADC8EC3" w:rsidP="00B50488">
            <w:pPr>
              <w:spacing w:before="40" w:after="120"/>
              <w:ind w:right="113"/>
              <w:rPr>
                <w:rFonts w:eastAsia="Times New Roman" w:cs="Times New Roman"/>
              </w:rPr>
            </w:pPr>
            <w:r w:rsidRPr="3E56B61F">
              <w:rPr>
                <w:rFonts w:eastAsia="Times New Roman" w:cs="Times New Roman"/>
              </w:rPr>
              <w:t>CCM/MSP/2024/1</w:t>
            </w:r>
            <w:r w:rsidR="50FFCB61" w:rsidRPr="3E56B61F">
              <w:rPr>
                <w:rFonts w:eastAsia="Times New Roman" w:cs="Times New Roman"/>
              </w:rPr>
              <w:t>1</w:t>
            </w:r>
          </w:p>
        </w:tc>
        <w:tc>
          <w:tcPr>
            <w:tcW w:w="4671" w:type="dxa"/>
          </w:tcPr>
          <w:p w14:paraId="13873707" w14:textId="51BCD0F8" w:rsidR="210F9D7D" w:rsidRDefault="7ADC8EC3" w:rsidP="00B50488">
            <w:pPr>
              <w:spacing w:before="40" w:after="120"/>
              <w:ind w:right="113"/>
              <w:rPr>
                <w:rFonts w:eastAsia="Times New Roman" w:cs="Times New Roman"/>
              </w:rPr>
            </w:pPr>
            <w:r w:rsidRPr="3E56B61F">
              <w:rPr>
                <w:rFonts w:eastAsia="Times New Roman" w:cs="Times New Roman"/>
              </w:rPr>
              <w:t>Final report</w:t>
            </w:r>
          </w:p>
        </w:tc>
      </w:tr>
      <w:tr w:rsidR="00775674" w:rsidRPr="00775674" w14:paraId="5BBEF80C" w14:textId="77777777" w:rsidTr="3E56B61F">
        <w:tc>
          <w:tcPr>
            <w:tcW w:w="2694" w:type="dxa"/>
          </w:tcPr>
          <w:p w14:paraId="0533D737" w14:textId="73E0D380" w:rsidR="210F9D7D" w:rsidRDefault="7ADC8EC3" w:rsidP="00B50488">
            <w:pPr>
              <w:spacing w:before="40" w:after="120"/>
              <w:ind w:right="113"/>
              <w:rPr>
                <w:rFonts w:eastAsia="Times New Roman" w:cs="Times New Roman"/>
              </w:rPr>
            </w:pPr>
            <w:r w:rsidRPr="3E56B61F">
              <w:rPr>
                <w:rFonts w:eastAsia="Times New Roman" w:cs="Times New Roman"/>
              </w:rPr>
              <w:t>CCM/MSP/2024/WP.1</w:t>
            </w:r>
          </w:p>
        </w:tc>
        <w:tc>
          <w:tcPr>
            <w:tcW w:w="4671" w:type="dxa"/>
          </w:tcPr>
          <w:p w14:paraId="746702B3" w14:textId="6B3D1FE5" w:rsidR="210F9D7D" w:rsidRDefault="7ADC8EC3" w:rsidP="00B50488">
            <w:pPr>
              <w:spacing w:before="40" w:after="120"/>
              <w:ind w:right="113"/>
              <w:rPr>
                <w:rFonts w:eastAsia="Times New Roman" w:cs="Times New Roman"/>
              </w:rPr>
            </w:pPr>
            <w:r w:rsidRPr="3E56B61F">
              <w:rPr>
                <w:rFonts w:eastAsia="Times New Roman" w:cs="Times New Roman"/>
              </w:rPr>
              <w:t>Explosive Ordnance Risk Education (EORE) in the Convention on Cluster Munitions (CCM)</w:t>
            </w:r>
          </w:p>
        </w:tc>
      </w:tr>
      <w:tr w:rsidR="00775674" w:rsidRPr="00775674" w14:paraId="5B765573" w14:textId="77777777" w:rsidTr="3E56B61F">
        <w:tc>
          <w:tcPr>
            <w:tcW w:w="2694" w:type="dxa"/>
          </w:tcPr>
          <w:p w14:paraId="6E232848" w14:textId="5AA9A0DD" w:rsidR="210F9D7D" w:rsidRDefault="7ADC8EC3" w:rsidP="4BAEF372">
            <w:pPr>
              <w:spacing w:before="40" w:after="120"/>
              <w:ind w:right="113"/>
              <w:rPr>
                <w:rFonts w:eastAsia="Times New Roman" w:cs="Times New Roman"/>
              </w:rPr>
            </w:pPr>
            <w:r w:rsidRPr="3E56B61F">
              <w:rPr>
                <w:rFonts w:eastAsia="Times New Roman" w:cs="Times New Roman"/>
              </w:rPr>
              <w:t>CCM/MSP/2024/WP.2</w:t>
            </w:r>
          </w:p>
        </w:tc>
        <w:tc>
          <w:tcPr>
            <w:tcW w:w="4671" w:type="dxa"/>
          </w:tcPr>
          <w:p w14:paraId="70A1BDDB" w14:textId="554733EB" w:rsidR="210F9D7D" w:rsidRDefault="00097F1B" w:rsidP="4BAEF372">
            <w:pPr>
              <w:spacing w:before="40" w:after="120"/>
              <w:ind w:right="113"/>
              <w:rPr>
                <w:rFonts w:eastAsia="Times New Roman" w:cs="Times New Roman"/>
              </w:rPr>
            </w:pPr>
            <w:r w:rsidRPr="00D467E4">
              <w:t>Taking stock of gender, diversity and inclusion in the Convention on Cluster Munitions:</w:t>
            </w:r>
            <w:r>
              <w:t xml:space="preserve"> A</w:t>
            </w:r>
            <w:r w:rsidRPr="00D467E4">
              <w:t xml:space="preserve"> mid-point review of the implementation of the Lausanne Action Plan</w:t>
            </w:r>
          </w:p>
        </w:tc>
      </w:tr>
      <w:tr w:rsidR="210F9D7D" w14:paraId="5D4078A3" w14:textId="77777777" w:rsidTr="3E56B61F">
        <w:trPr>
          <w:trHeight w:val="300"/>
        </w:trPr>
        <w:tc>
          <w:tcPr>
            <w:tcW w:w="2694" w:type="dxa"/>
          </w:tcPr>
          <w:p w14:paraId="12E7DB07" w14:textId="73B268BF" w:rsidR="210F9D7D" w:rsidRDefault="7ADC8EC3" w:rsidP="0036546F">
            <w:pPr>
              <w:spacing w:before="40" w:after="120"/>
              <w:ind w:right="113"/>
              <w:rPr>
                <w:rFonts w:eastAsia="Times New Roman" w:cs="Times New Roman"/>
              </w:rPr>
            </w:pPr>
            <w:r w:rsidRPr="3E56B61F">
              <w:rPr>
                <w:rFonts w:eastAsia="Times New Roman" w:cs="Times New Roman"/>
              </w:rPr>
              <w:t>CCM/MSP/2024/WP.3</w:t>
            </w:r>
          </w:p>
        </w:tc>
        <w:tc>
          <w:tcPr>
            <w:tcW w:w="4671" w:type="dxa"/>
          </w:tcPr>
          <w:p w14:paraId="4F48F2FB" w14:textId="3A99A781" w:rsidR="210F9D7D" w:rsidRDefault="7ADC8EC3" w:rsidP="3E56B61F">
            <w:pPr>
              <w:spacing w:before="40" w:after="120"/>
              <w:ind w:right="113"/>
              <w:rPr>
                <w:rFonts w:asciiTheme="majorBidi" w:eastAsia="Calibri" w:hAnsiTheme="majorBidi" w:cstheme="majorBidi"/>
                <w:i/>
                <w:iCs/>
                <w:sz w:val="16"/>
                <w:szCs w:val="16"/>
              </w:rPr>
            </w:pPr>
            <w:r w:rsidRPr="3E56B61F">
              <w:rPr>
                <w:rFonts w:eastAsia="Times New Roman" w:cs="Times New Roman"/>
              </w:rPr>
              <w:t>CCM Stakeholder Consultation Dialogue (4 September 2024). Submitted by the President</w:t>
            </w:r>
            <w:r w:rsidRPr="3E56B61F">
              <w:rPr>
                <w:rFonts w:asciiTheme="majorBidi" w:eastAsia="Calibri" w:hAnsiTheme="majorBidi" w:cstheme="majorBidi"/>
                <w:i/>
                <w:iCs/>
                <w:sz w:val="16"/>
                <w:szCs w:val="16"/>
              </w:rPr>
              <w:t xml:space="preserve"> </w:t>
            </w:r>
          </w:p>
        </w:tc>
      </w:tr>
      <w:tr w:rsidR="003B64AC" w14:paraId="44B13F19" w14:textId="77777777" w:rsidTr="3E56B61F">
        <w:trPr>
          <w:trHeight w:val="300"/>
        </w:trPr>
        <w:tc>
          <w:tcPr>
            <w:tcW w:w="2694" w:type="dxa"/>
          </w:tcPr>
          <w:p w14:paraId="3F826757" w14:textId="4E246425" w:rsidR="003B64AC" w:rsidRDefault="003B64AC" w:rsidP="003B64AC">
            <w:pPr>
              <w:spacing w:before="40" w:after="120"/>
              <w:ind w:right="113"/>
              <w:rPr>
                <w:rFonts w:eastAsia="Times New Roman" w:cs="Times New Roman"/>
              </w:rPr>
            </w:pPr>
            <w:r w:rsidRPr="3E56B61F">
              <w:rPr>
                <w:rFonts w:eastAsia="Times New Roman" w:cs="Times New Roman"/>
              </w:rPr>
              <w:t>CCM/MSP/2024/MISC.1</w:t>
            </w:r>
          </w:p>
        </w:tc>
        <w:tc>
          <w:tcPr>
            <w:tcW w:w="4671" w:type="dxa"/>
          </w:tcPr>
          <w:p w14:paraId="08C33ABE" w14:textId="6522BD1A" w:rsidR="003B64AC" w:rsidRDefault="003B64AC" w:rsidP="003B64AC">
            <w:pPr>
              <w:spacing w:before="40" w:after="120"/>
              <w:ind w:right="113"/>
              <w:rPr>
                <w:rFonts w:eastAsia="Times New Roman" w:cs="Times New Roman"/>
              </w:rPr>
            </w:pPr>
            <w:r w:rsidRPr="3E56B61F">
              <w:rPr>
                <w:rFonts w:eastAsia="Times New Roman" w:cs="Times New Roman"/>
              </w:rPr>
              <w:t>Upholding and Strengthening the Norms of International Humanitarian Law that Protect Humanity in Times of Adversity. Submitted by the International Committee of the Red Cross</w:t>
            </w:r>
          </w:p>
        </w:tc>
      </w:tr>
      <w:tr w:rsidR="003B64AC" w14:paraId="30EA1805" w14:textId="77777777" w:rsidTr="3E56B61F">
        <w:trPr>
          <w:trHeight w:val="300"/>
        </w:trPr>
        <w:tc>
          <w:tcPr>
            <w:tcW w:w="2694" w:type="dxa"/>
          </w:tcPr>
          <w:p w14:paraId="02E25D05" w14:textId="00BD6A3D" w:rsidR="003B64AC" w:rsidRDefault="003B64AC" w:rsidP="003B64AC">
            <w:pPr>
              <w:spacing w:before="40" w:after="120"/>
              <w:ind w:right="113"/>
              <w:rPr>
                <w:rFonts w:eastAsia="Times New Roman" w:cs="Times New Roman"/>
              </w:rPr>
            </w:pPr>
            <w:r w:rsidRPr="3E56B61F">
              <w:rPr>
                <w:rFonts w:eastAsia="Times New Roman" w:cs="Times New Roman"/>
              </w:rPr>
              <w:t>CCM/MSP/2024/MISC.2</w:t>
            </w:r>
          </w:p>
        </w:tc>
        <w:tc>
          <w:tcPr>
            <w:tcW w:w="4671" w:type="dxa"/>
          </w:tcPr>
          <w:p w14:paraId="41172B6F" w14:textId="7DA146D3" w:rsidR="003B64AC" w:rsidRDefault="003B64AC" w:rsidP="003B64AC">
            <w:pPr>
              <w:spacing w:before="40" w:after="120"/>
              <w:ind w:right="113"/>
              <w:rPr>
                <w:rFonts w:eastAsia="Times New Roman" w:cs="Times New Roman"/>
              </w:rPr>
            </w:pPr>
            <w:r>
              <w:t>Withdrawn</w:t>
            </w:r>
          </w:p>
        </w:tc>
      </w:tr>
      <w:tr w:rsidR="003B64AC" w14:paraId="0E89C5F9" w14:textId="77777777" w:rsidTr="3E56B61F">
        <w:trPr>
          <w:trHeight w:val="300"/>
        </w:trPr>
        <w:tc>
          <w:tcPr>
            <w:tcW w:w="2694" w:type="dxa"/>
          </w:tcPr>
          <w:p w14:paraId="73AC374C" w14:textId="2F27145A" w:rsidR="003B64AC" w:rsidRDefault="003B64AC" w:rsidP="003B64AC">
            <w:pPr>
              <w:spacing w:before="40" w:after="120"/>
              <w:ind w:right="113"/>
              <w:rPr>
                <w:rFonts w:eastAsia="Times New Roman" w:cs="Times New Roman"/>
              </w:rPr>
            </w:pPr>
            <w:r w:rsidRPr="3E56B61F">
              <w:rPr>
                <w:rFonts w:eastAsia="Times New Roman" w:cs="Times New Roman"/>
              </w:rPr>
              <w:lastRenderedPageBreak/>
              <w:t>CCM/MSP/2024/MISC.</w:t>
            </w:r>
            <w:r>
              <w:rPr>
                <w:rFonts w:eastAsia="Times New Roman" w:cs="Times New Roman"/>
              </w:rPr>
              <w:t>3</w:t>
            </w:r>
          </w:p>
        </w:tc>
        <w:tc>
          <w:tcPr>
            <w:tcW w:w="4671" w:type="dxa"/>
          </w:tcPr>
          <w:p w14:paraId="30D24ABB" w14:textId="09447DEA" w:rsidR="003B64AC" w:rsidRDefault="003B64AC" w:rsidP="003B64AC">
            <w:pPr>
              <w:spacing w:before="40" w:after="120"/>
              <w:ind w:right="113"/>
              <w:rPr>
                <w:rFonts w:eastAsia="Times New Roman" w:cs="Times New Roman"/>
              </w:rPr>
            </w:pPr>
            <w:r w:rsidRPr="00097F1B">
              <w:rPr>
                <w:rFonts w:eastAsia="Times New Roman" w:cs="Times New Roman"/>
              </w:rPr>
              <w:t>Explanation of Position on the “State of Palestine”. Submitted by Australia, the Czech Republic, Germany, and the Kingdom of the Netherlands</w:t>
            </w:r>
          </w:p>
        </w:tc>
      </w:tr>
      <w:tr w:rsidR="00097F1B" w14:paraId="7005DC32" w14:textId="77777777" w:rsidTr="3E56B61F">
        <w:trPr>
          <w:trHeight w:val="300"/>
        </w:trPr>
        <w:tc>
          <w:tcPr>
            <w:tcW w:w="2694" w:type="dxa"/>
          </w:tcPr>
          <w:p w14:paraId="38961736" w14:textId="0529C5AD" w:rsidR="00097F1B" w:rsidRPr="3E56B61F" w:rsidRDefault="00097F1B" w:rsidP="00097F1B">
            <w:pPr>
              <w:spacing w:before="40" w:after="120"/>
              <w:ind w:right="113"/>
              <w:rPr>
                <w:rFonts w:eastAsia="Times New Roman" w:cs="Times New Roman"/>
              </w:rPr>
            </w:pPr>
            <w:r>
              <w:rPr>
                <w:rFonts w:eastAsia="Times New Roman" w:cs="Times New Roman"/>
              </w:rPr>
              <w:t>CCM/MSP/2024/INF.1</w:t>
            </w:r>
          </w:p>
        </w:tc>
        <w:tc>
          <w:tcPr>
            <w:tcW w:w="4671" w:type="dxa"/>
          </w:tcPr>
          <w:p w14:paraId="7105366D" w14:textId="6945256A" w:rsidR="00097F1B" w:rsidRPr="3E56B61F" w:rsidRDefault="00097F1B" w:rsidP="00097F1B">
            <w:pPr>
              <w:spacing w:before="40" w:after="120"/>
              <w:ind w:right="113"/>
              <w:rPr>
                <w:rFonts w:eastAsia="Times New Roman" w:cs="Times New Roman"/>
              </w:rPr>
            </w:pPr>
            <w:r>
              <w:rPr>
                <w:rFonts w:eastAsia="Times New Roman" w:cs="Times New Roman"/>
              </w:rPr>
              <w:t>List of participants</w:t>
            </w:r>
          </w:p>
        </w:tc>
      </w:tr>
    </w:tbl>
    <w:p w14:paraId="65B8F0C5" w14:textId="77777777" w:rsidR="00775674" w:rsidRPr="00775674" w:rsidRDefault="00775674" w:rsidP="00775674">
      <w:pPr>
        <w:spacing w:before="240"/>
        <w:jc w:val="center"/>
        <w:rPr>
          <w:rFonts w:eastAsia="Calibri" w:cs="Arial"/>
          <w:u w:val="single"/>
          <w:lang w:val="en-US" w:eastAsia="zh-CN"/>
        </w:rPr>
      </w:pPr>
      <w:r w:rsidRPr="00775674">
        <w:rPr>
          <w:rFonts w:eastAsia="Calibri" w:cs="Arial"/>
          <w:u w:val="single"/>
          <w:lang w:val="en-US" w:eastAsia="zh-CN"/>
        </w:rPr>
        <w:tab/>
      </w:r>
      <w:r w:rsidRPr="00775674">
        <w:rPr>
          <w:rFonts w:eastAsia="Calibri" w:cs="Arial"/>
          <w:u w:val="single"/>
          <w:lang w:val="en-US" w:eastAsia="zh-CN"/>
        </w:rPr>
        <w:tab/>
      </w:r>
      <w:r w:rsidRPr="00775674">
        <w:rPr>
          <w:rFonts w:eastAsia="Calibri" w:cs="Arial"/>
          <w:u w:val="single"/>
          <w:lang w:val="en-US" w:eastAsia="zh-CN"/>
        </w:rPr>
        <w:tab/>
      </w:r>
    </w:p>
    <w:sectPr w:rsidR="00775674" w:rsidRPr="00775674" w:rsidSect="0077567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C61E" w14:textId="77777777" w:rsidR="00795D8C" w:rsidRDefault="00795D8C"/>
  </w:endnote>
  <w:endnote w:type="continuationSeparator" w:id="0">
    <w:p w14:paraId="3BACDDEA" w14:textId="77777777" w:rsidR="00795D8C" w:rsidRDefault="00795D8C"/>
  </w:endnote>
  <w:endnote w:type="continuationNotice" w:id="1">
    <w:p w14:paraId="764AB0F5" w14:textId="77777777" w:rsidR="00795D8C" w:rsidRDefault="0079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4921" w14:textId="536115EA" w:rsidR="00775674" w:rsidRPr="00775674" w:rsidRDefault="00775674" w:rsidP="00775674">
    <w:pPr>
      <w:pStyle w:val="Footer"/>
      <w:tabs>
        <w:tab w:val="right" w:pos="9638"/>
      </w:tabs>
      <w:rPr>
        <w:sz w:val="18"/>
      </w:rPr>
    </w:pPr>
    <w:r w:rsidRPr="00775674">
      <w:rPr>
        <w:b/>
        <w:sz w:val="18"/>
      </w:rPr>
      <w:fldChar w:fldCharType="begin"/>
    </w:r>
    <w:r w:rsidRPr="00775674">
      <w:rPr>
        <w:b/>
        <w:sz w:val="18"/>
      </w:rPr>
      <w:instrText xml:space="preserve"> PAGE  \* MERGEFORMAT </w:instrText>
    </w:r>
    <w:r w:rsidRPr="00775674">
      <w:rPr>
        <w:b/>
        <w:sz w:val="18"/>
      </w:rPr>
      <w:fldChar w:fldCharType="separate"/>
    </w:r>
    <w:r w:rsidRPr="00775674">
      <w:rPr>
        <w:b/>
        <w:noProof/>
        <w:sz w:val="18"/>
      </w:rPr>
      <w:t>2</w:t>
    </w:r>
    <w:r w:rsidRPr="0077567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579A" w14:textId="4763570A" w:rsidR="00775674" w:rsidRPr="00775674" w:rsidRDefault="00775674" w:rsidP="00775674">
    <w:pPr>
      <w:pStyle w:val="Footer"/>
      <w:tabs>
        <w:tab w:val="right" w:pos="9638"/>
      </w:tabs>
      <w:rPr>
        <w:b/>
        <w:sz w:val="18"/>
      </w:rPr>
    </w:pPr>
    <w:r>
      <w:tab/>
    </w:r>
    <w:r w:rsidRPr="00775674">
      <w:rPr>
        <w:b/>
        <w:sz w:val="18"/>
      </w:rPr>
      <w:fldChar w:fldCharType="begin"/>
    </w:r>
    <w:r w:rsidRPr="00775674">
      <w:rPr>
        <w:b/>
        <w:sz w:val="18"/>
      </w:rPr>
      <w:instrText xml:space="preserve"> PAGE  \* MERGEFORMAT </w:instrText>
    </w:r>
    <w:r w:rsidRPr="00775674">
      <w:rPr>
        <w:b/>
        <w:sz w:val="18"/>
      </w:rPr>
      <w:fldChar w:fldCharType="separate"/>
    </w:r>
    <w:r w:rsidRPr="00775674">
      <w:rPr>
        <w:b/>
        <w:noProof/>
        <w:sz w:val="18"/>
      </w:rPr>
      <w:t>3</w:t>
    </w:r>
    <w:r w:rsidRPr="0077567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6AE7" w14:textId="77777777" w:rsidR="00533805" w:rsidRDefault="0053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C1FE6" w14:textId="77777777" w:rsidR="00795D8C" w:rsidRDefault="00795D8C">
      <w:pPr>
        <w:tabs>
          <w:tab w:val="right" w:pos="2155"/>
        </w:tabs>
        <w:spacing w:after="80"/>
        <w:ind w:left="680"/>
        <w:rPr>
          <w:u w:val="single"/>
        </w:rPr>
      </w:pPr>
      <w:r>
        <w:rPr>
          <w:u w:val="single"/>
        </w:rPr>
        <w:tab/>
      </w:r>
    </w:p>
  </w:footnote>
  <w:footnote w:type="continuationSeparator" w:id="0">
    <w:p w14:paraId="5BD5BA60" w14:textId="77777777" w:rsidR="00795D8C" w:rsidRDefault="00795D8C">
      <w:pPr>
        <w:tabs>
          <w:tab w:val="left" w:pos="2155"/>
        </w:tabs>
        <w:spacing w:after="80"/>
        <w:ind w:left="680"/>
        <w:rPr>
          <w:u w:val="single"/>
        </w:rPr>
      </w:pPr>
      <w:r>
        <w:rPr>
          <w:u w:val="single"/>
        </w:rPr>
        <w:tab/>
      </w:r>
    </w:p>
  </w:footnote>
  <w:footnote w:type="continuationNotice" w:id="1">
    <w:p w14:paraId="2B77A43F" w14:textId="77777777" w:rsidR="00795D8C" w:rsidRDefault="00795D8C"/>
  </w:footnote>
  <w:footnote w:id="2">
    <w:p w14:paraId="108498CD" w14:textId="77777777" w:rsidR="00CD1A11" w:rsidRDefault="00CD1A11" w:rsidP="00CD1A11">
      <w:pPr>
        <w:pStyle w:val="FootnoteText"/>
      </w:pPr>
      <w:r w:rsidRPr="00BA17B4">
        <w:rPr>
          <w:rStyle w:val="FootnoteReference"/>
          <w:lang w:val="en-US"/>
        </w:rPr>
        <w:tab/>
      </w:r>
      <w:r>
        <w:rPr>
          <w:rStyle w:val="FootnoteReference"/>
        </w:rPr>
        <w:sym w:font="Symbol" w:char="F02A"/>
      </w:r>
      <w:r>
        <w:t xml:space="preserve"> </w:t>
      </w:r>
      <w:r>
        <w:tab/>
        <w:t>The present document is being issued without formal editing.</w:t>
      </w:r>
    </w:p>
  </w:footnote>
  <w:footnote w:id="3">
    <w:p w14:paraId="2D2B0AAC" w14:textId="70B08E5F" w:rsidR="00C44541" w:rsidRPr="003338C6" w:rsidRDefault="00682C6C" w:rsidP="00C44541">
      <w:pPr>
        <w:pStyle w:val="FootnoteText"/>
        <w:rPr>
          <w:lang w:val="pt-PT"/>
        </w:rPr>
      </w:pPr>
      <w:r>
        <w:rPr>
          <w:lang w:val="pt-PT"/>
        </w:rPr>
        <w:tab/>
      </w:r>
      <w:r w:rsidR="00C44541">
        <w:rPr>
          <w:rStyle w:val="FootnoteReference"/>
        </w:rPr>
        <w:footnoteRef/>
      </w:r>
      <w:r w:rsidR="00C44541" w:rsidRPr="003338C6">
        <w:rPr>
          <w:lang w:val="pt-PT"/>
        </w:rPr>
        <w:t xml:space="preserve"> </w:t>
      </w:r>
      <w:r>
        <w:rPr>
          <w:lang w:val="pt-PT"/>
        </w:rPr>
        <w:tab/>
      </w:r>
      <w:r w:rsidR="00C44541" w:rsidRPr="003338C6">
        <w:rPr>
          <w:lang w:val="pt-PT"/>
        </w:rPr>
        <w:t>CCM/CONF/2021/6, paragraph 84(ii)(a).</w:t>
      </w:r>
    </w:p>
  </w:footnote>
  <w:footnote w:id="4">
    <w:p w14:paraId="7F2D0E2B" w14:textId="42D25A97" w:rsidR="00B670F3" w:rsidRPr="00B670F3" w:rsidRDefault="00682C6C" w:rsidP="00B670F3">
      <w:pPr>
        <w:pStyle w:val="FootnoteText"/>
        <w:rPr>
          <w:lang w:val="en-US"/>
        </w:rPr>
      </w:pPr>
      <w:r>
        <w:tab/>
      </w:r>
      <w:r w:rsidR="00B670F3">
        <w:rPr>
          <w:rStyle w:val="FootnoteReference"/>
        </w:rPr>
        <w:footnoteRef/>
      </w:r>
      <w:r w:rsidR="00B670F3">
        <w:t xml:space="preserve"> </w:t>
      </w:r>
      <w:r>
        <w:tab/>
      </w:r>
      <w:r w:rsidR="00B670F3" w:rsidRPr="005C40A0">
        <w:rPr>
          <w:lang w:val="en-US"/>
        </w:rPr>
        <w:t>CCM/</w:t>
      </w:r>
      <w:r w:rsidR="00B670F3" w:rsidRPr="00B670F3">
        <w:rPr>
          <w:lang w:val="en-US"/>
        </w:rPr>
        <w:t>MSP</w:t>
      </w:r>
      <w:r w:rsidR="00B670F3" w:rsidRPr="005C40A0">
        <w:rPr>
          <w:lang w:val="en-US"/>
        </w:rPr>
        <w:t>/202</w:t>
      </w:r>
      <w:r w:rsidR="00B670F3" w:rsidRPr="00B670F3">
        <w:rPr>
          <w:lang w:val="en-US"/>
        </w:rPr>
        <w:t>3</w:t>
      </w:r>
      <w:r w:rsidR="00B670F3" w:rsidRPr="005C40A0">
        <w:rPr>
          <w:lang w:val="en-US"/>
        </w:rPr>
        <w:t>/</w:t>
      </w:r>
      <w:r w:rsidR="00B670F3" w:rsidRPr="00B670F3">
        <w:rPr>
          <w:lang w:val="en-US"/>
        </w:rPr>
        <w:t>11, paragraph 55</w:t>
      </w:r>
      <w:r w:rsidR="00B670F3">
        <w:rPr>
          <w:lang w:val="en-US"/>
        </w:rPr>
        <w:t>.</w:t>
      </w:r>
    </w:p>
  </w:footnote>
  <w:footnote w:id="5">
    <w:p w14:paraId="714FC6D7" w14:textId="27313E46" w:rsidR="003926B0" w:rsidRPr="003926B0" w:rsidRDefault="00682C6C">
      <w:pPr>
        <w:pStyle w:val="FootnoteText"/>
        <w:rPr>
          <w:lang w:val="en-US"/>
        </w:rPr>
      </w:pPr>
      <w:r>
        <w:tab/>
      </w:r>
      <w:r w:rsidR="003926B0">
        <w:rPr>
          <w:rStyle w:val="FootnoteReference"/>
        </w:rPr>
        <w:footnoteRef/>
      </w:r>
      <w:r w:rsidR="003926B0">
        <w:t xml:space="preserve"> </w:t>
      </w:r>
      <w:r>
        <w:tab/>
      </w:r>
      <w:r w:rsidR="003926B0">
        <w:rPr>
          <w:lang w:val="en-US"/>
        </w:rPr>
        <w:t xml:space="preserve">Ibid, paragraph </w:t>
      </w:r>
      <w:r w:rsidR="006B6169">
        <w:rPr>
          <w:lang w:val="en-US"/>
        </w:rPr>
        <w:t>54.</w:t>
      </w:r>
    </w:p>
  </w:footnote>
  <w:footnote w:id="6">
    <w:p w14:paraId="0109477B" w14:textId="4A112714" w:rsidR="00B50CEB" w:rsidRPr="00B50CEB" w:rsidRDefault="00682C6C">
      <w:pPr>
        <w:pStyle w:val="FootnoteText"/>
        <w:rPr>
          <w:lang w:val="en-US"/>
        </w:rPr>
      </w:pPr>
      <w:r>
        <w:tab/>
      </w:r>
      <w:r w:rsidR="00B50CEB">
        <w:rPr>
          <w:rStyle w:val="FootnoteReference"/>
        </w:rPr>
        <w:footnoteRef/>
      </w:r>
      <w:r w:rsidR="00B50CEB">
        <w:t xml:space="preserve"> </w:t>
      </w:r>
      <w:r>
        <w:tab/>
      </w:r>
      <w:r w:rsidR="00B50CEB">
        <w:rPr>
          <w:lang w:val="en-US"/>
        </w:rPr>
        <w:t xml:space="preserve">Due to financial constraints the </w:t>
      </w:r>
      <w:r w:rsidR="00E2537A">
        <w:rPr>
          <w:lang w:val="en-US"/>
        </w:rPr>
        <w:t>duration of the Meeting was shortened by one day.</w:t>
      </w:r>
      <w:r w:rsidR="00B50CEB">
        <w:rPr>
          <w:lang w:val="en-US"/>
        </w:rPr>
        <w:t xml:space="preserve"> </w:t>
      </w:r>
    </w:p>
  </w:footnote>
  <w:footnote w:id="7">
    <w:p w14:paraId="5927FA32" w14:textId="6D69B3EE" w:rsidR="005A15C7" w:rsidRPr="006B1D27" w:rsidRDefault="00682C6C" w:rsidP="008201C5">
      <w:pPr>
        <w:pStyle w:val="FootnoteText"/>
      </w:pPr>
      <w:r>
        <w:tab/>
      </w:r>
      <w:r w:rsidR="005A15C7" w:rsidRPr="00682C6C">
        <w:rPr>
          <w:rStyle w:val="FootnoteReference"/>
          <w:lang w:val="en-GB"/>
        </w:rPr>
        <w:footnoteRef/>
      </w:r>
      <w:r>
        <w:tab/>
      </w:r>
      <w:r w:rsidR="3E56B61F" w:rsidRPr="00682C6C">
        <w:t>Submitted by Albania, Australia, Austria, Belgium, Canada, Chile, Colombia, Czech Republic, Ecuador, France, the Gambia, Germany, Ireland, Italy, Mexico, Moldova, Montenegro, Netherlands, Norway, North Macedonia, Slovenia, Spain, Sweden, the United Kingdom and the United Nations Institute for Disarmament Research (UNIDIR)</w:t>
      </w:r>
      <w:r w:rsidR="008201C5">
        <w:t>.</w:t>
      </w:r>
    </w:p>
  </w:footnote>
  <w:footnote w:id="8">
    <w:p w14:paraId="6F225ADF" w14:textId="10EFCC5E" w:rsidR="00317EBC" w:rsidRPr="00317EBC" w:rsidRDefault="00682C6C" w:rsidP="001C3F66">
      <w:pPr>
        <w:pStyle w:val="FootnoteText"/>
        <w:rPr>
          <w:lang w:val="en-US"/>
        </w:rPr>
      </w:pPr>
      <w:r>
        <w:tab/>
      </w:r>
      <w:r w:rsidR="00317EBC">
        <w:rPr>
          <w:rStyle w:val="FootnoteReference"/>
        </w:rPr>
        <w:footnoteRef/>
      </w:r>
      <w:r>
        <w:tab/>
      </w:r>
      <w:hyperlink r:id="rId1" w:history="1">
        <w:r w:rsidR="001C3F66" w:rsidRPr="005565D2">
          <w:rPr>
            <w:rStyle w:val="Hyperlink"/>
          </w:rPr>
          <w:t>C.N.</w:t>
        </w:r>
        <w:proofErr w:type="gramStart"/>
        <w:r w:rsidR="001C3F66" w:rsidRPr="005565D2">
          <w:rPr>
            <w:rStyle w:val="Hyperlink"/>
          </w:rPr>
          <w:t>347.2024.TREATIES</w:t>
        </w:r>
        <w:proofErr w:type="gramEnd"/>
        <w:r w:rsidR="001C3F66" w:rsidRPr="005565D2">
          <w:rPr>
            <w:rStyle w:val="Hyperlink"/>
          </w:rPr>
          <w:t>-XXVI.6</w:t>
        </w:r>
      </w:hyperlink>
      <w:r w:rsidR="001C3F66" w:rsidRPr="001C3F66">
        <w:t xml:space="preserve"> (Depositary Notification)</w:t>
      </w:r>
      <w:r>
        <w:t>.</w:t>
      </w:r>
    </w:p>
  </w:footnote>
  <w:footnote w:id="9">
    <w:p w14:paraId="27D18406" w14:textId="2123722A" w:rsidR="00EE7618" w:rsidRPr="002109ED" w:rsidRDefault="00682C6C">
      <w:pPr>
        <w:pStyle w:val="FootnoteText"/>
        <w:rPr>
          <w:lang w:val="en-US"/>
        </w:rPr>
      </w:pPr>
      <w:r>
        <w:tab/>
      </w:r>
      <w:r w:rsidR="00EE7618">
        <w:rPr>
          <w:rStyle w:val="FootnoteReference"/>
        </w:rPr>
        <w:footnoteRef/>
      </w:r>
      <w:r>
        <w:tab/>
      </w:r>
      <w:r w:rsidR="3E56B61F">
        <w:rPr>
          <w:lang w:val="en-US"/>
        </w:rPr>
        <w:t>CCM/MSP/2024/7</w:t>
      </w:r>
      <w:r>
        <w:rPr>
          <w:lang w:val="en-US"/>
        </w:rPr>
        <w:t>.</w:t>
      </w:r>
    </w:p>
  </w:footnote>
  <w:footnote w:id="10">
    <w:p w14:paraId="620C8D72" w14:textId="7146AAAB" w:rsidR="00F22F21" w:rsidRPr="00F22F21" w:rsidRDefault="00CD1A11" w:rsidP="00F22F21">
      <w:pPr>
        <w:pStyle w:val="FootnoteText"/>
        <w:rPr>
          <w:lang w:val="en-US"/>
        </w:rPr>
      </w:pPr>
      <w:r>
        <w:tab/>
      </w:r>
      <w:r w:rsidR="00F22F21">
        <w:rPr>
          <w:rStyle w:val="FootnoteReference"/>
        </w:rPr>
        <w:footnoteRef/>
      </w:r>
      <w:r w:rsidR="00F22F21">
        <w:t xml:space="preserve"> </w:t>
      </w:r>
      <w:r>
        <w:tab/>
      </w:r>
      <w:r w:rsidR="00F22F21" w:rsidRPr="00F22F21">
        <w:rPr>
          <w:lang w:val="en-US"/>
        </w:rPr>
        <w:t>CCM/MSP/2023/7</w:t>
      </w:r>
      <w:r w:rsidR="00F22F21">
        <w:rPr>
          <w:lang w:val="en-US"/>
        </w:rPr>
        <w:t>.</w:t>
      </w:r>
    </w:p>
  </w:footnote>
  <w:footnote w:id="11">
    <w:p w14:paraId="07D79175" w14:textId="7C919998" w:rsidR="008828AC" w:rsidRPr="008828AC" w:rsidRDefault="00CD1A11">
      <w:pPr>
        <w:pStyle w:val="FootnoteText"/>
        <w:rPr>
          <w:lang w:val="en-US"/>
        </w:rPr>
      </w:pPr>
      <w:r>
        <w:rPr>
          <w:lang w:val="en-US"/>
        </w:rPr>
        <w:tab/>
      </w:r>
      <w:r w:rsidR="008828AC">
        <w:rPr>
          <w:rStyle w:val="FootnoteReference"/>
        </w:rPr>
        <w:footnoteRef/>
      </w:r>
      <w:r w:rsidR="3E56B61F" w:rsidRPr="008828AC">
        <w:rPr>
          <w:lang w:val="en-US"/>
        </w:rPr>
        <w:t xml:space="preserve"> </w:t>
      </w:r>
      <w:r>
        <w:rPr>
          <w:lang w:val="en-US"/>
        </w:rPr>
        <w:tab/>
      </w:r>
      <w:r w:rsidR="3E56B61F" w:rsidRPr="008828AC">
        <w:rPr>
          <w:lang w:val="en-US"/>
        </w:rPr>
        <w:t>Mexico, Philippines, and</w:t>
      </w:r>
      <w:r w:rsidR="3E56B61F">
        <w:rPr>
          <w:lang w:val="en-US"/>
        </w:rPr>
        <w:t xml:space="preserve"> Lao People’s Democratic Republic.</w:t>
      </w:r>
    </w:p>
  </w:footnote>
  <w:footnote w:id="12">
    <w:p w14:paraId="18834B7C" w14:textId="3834A0D8" w:rsidR="00CE672C" w:rsidRPr="00DF73EA" w:rsidRDefault="00CD1A11" w:rsidP="00CE672C">
      <w:pPr>
        <w:pStyle w:val="FootnoteText"/>
        <w:rPr>
          <w:lang w:val="en-US"/>
        </w:rPr>
      </w:pPr>
      <w:r>
        <w:rPr>
          <w:lang w:val="en-US"/>
        </w:rPr>
        <w:tab/>
      </w:r>
      <w:r w:rsidR="00CE672C">
        <w:rPr>
          <w:rStyle w:val="FootnoteReference"/>
        </w:rPr>
        <w:footnoteRef/>
      </w:r>
      <w:r w:rsidR="3E56B61F" w:rsidRPr="008E78D7">
        <w:rPr>
          <w:lang w:val="en-US"/>
        </w:rPr>
        <w:t xml:space="preserve"> </w:t>
      </w:r>
      <w:r>
        <w:rPr>
          <w:lang w:val="en-US"/>
        </w:rPr>
        <w:tab/>
      </w:r>
      <w:r w:rsidR="3E56B61F" w:rsidRPr="008E78D7">
        <w:rPr>
          <w:lang w:val="en-US"/>
        </w:rPr>
        <w:t xml:space="preserve">To be </w:t>
      </w:r>
      <w:r w:rsidR="3E56B61F">
        <w:rPr>
          <w:lang w:val="en-US"/>
        </w:rPr>
        <w:t>nominated</w:t>
      </w:r>
      <w:r w:rsidR="3E56B61F" w:rsidRPr="008E78D7">
        <w:rPr>
          <w:lang w:val="en-US"/>
        </w:rPr>
        <w:t xml:space="preserve"> at </w:t>
      </w:r>
      <w:r w:rsidR="3E56B61F">
        <w:rPr>
          <w:lang w:val="en-US"/>
        </w:rPr>
        <w:t>a later stage.</w:t>
      </w:r>
    </w:p>
  </w:footnote>
  <w:footnote w:id="13">
    <w:p w14:paraId="2ED5BD27" w14:textId="0B112E58" w:rsidR="00CE672C" w:rsidRPr="00C2477A" w:rsidRDefault="00CD1A11">
      <w:pPr>
        <w:pStyle w:val="FootnoteText"/>
        <w:rPr>
          <w:lang w:val="en-US"/>
        </w:rPr>
      </w:pPr>
      <w:r>
        <w:rPr>
          <w:lang w:val="en-US"/>
        </w:rPr>
        <w:tab/>
      </w:r>
      <w:r w:rsidR="00CE672C">
        <w:rPr>
          <w:rStyle w:val="FootnoteReference"/>
        </w:rPr>
        <w:footnoteRef/>
      </w:r>
      <w:r w:rsidR="3E56B61F" w:rsidRPr="00C2477A">
        <w:rPr>
          <w:lang w:val="en-US"/>
        </w:rPr>
        <w:t xml:space="preserve"> </w:t>
      </w:r>
      <w:r>
        <w:rPr>
          <w:lang w:val="en-US"/>
        </w:rPr>
        <w:tab/>
      </w:r>
      <w:r w:rsidR="3E56B61F" w:rsidRPr="00CE672C">
        <w:rPr>
          <w:lang w:val="en-US"/>
        </w:rPr>
        <w:t>T</w:t>
      </w:r>
      <w:r w:rsidR="3E56B61F" w:rsidRPr="00C2477A">
        <w:rPr>
          <w:lang w:val="en-US"/>
        </w:rPr>
        <w:t>o</w:t>
      </w:r>
      <w:r w:rsidR="3E56B61F">
        <w:rPr>
          <w:lang w:val="en-US"/>
        </w:rPr>
        <w:t xml:space="preserve"> be nominated at a later stage.</w:t>
      </w:r>
    </w:p>
  </w:footnote>
  <w:footnote w:id="14">
    <w:p w14:paraId="31DF195B" w14:textId="591F916A" w:rsidR="001D09D4" w:rsidRPr="001D09D4" w:rsidRDefault="00CD1A11">
      <w:pPr>
        <w:pStyle w:val="FootnoteText"/>
        <w:rPr>
          <w:lang w:val="en-US"/>
        </w:rPr>
      </w:pPr>
      <w:r>
        <w:rPr>
          <w:lang w:val="en-US"/>
        </w:rPr>
        <w:tab/>
      </w:r>
      <w:r w:rsidR="001D09D4">
        <w:rPr>
          <w:rStyle w:val="FootnoteReference"/>
        </w:rPr>
        <w:footnoteRef/>
      </w:r>
      <w:r>
        <w:rPr>
          <w:lang w:val="en-US"/>
        </w:rPr>
        <w:tab/>
      </w:r>
      <w:r w:rsidR="001D09D4">
        <w:rPr>
          <w:lang w:val="en-US"/>
        </w:rPr>
        <w:t>CCM/CONF/2021/6, paragraph 90(iii)</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AA6" w14:textId="1D58B287" w:rsidR="00775674" w:rsidRPr="00775674" w:rsidRDefault="00533805">
    <w:pPr>
      <w:pStyle w:val="Header"/>
    </w:pPr>
    <w:r>
      <w:rPr>
        <w:noProof/>
      </w:rPr>
      <w:pict w14:anchorId="7779F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53766" o:spid="_x0000_s1026" type="#_x0000_t136" style="position:absolute;margin-left:0;margin-top:0;width:582.4pt;height:97.05pt;rotation:315;z-index:-251655168;mso-position-horizontal:center;mso-position-horizontal-relative:margin;mso-position-vertical:center;mso-position-vertical-relative:margin" o:allowincell="f" fillcolor="silver" stroked="f">
          <v:fill opacity=".5"/>
          <v:textpath style="font-family:&quot;Times New Roman&quot;;font-size:1pt" string="Advance copy"/>
        </v:shape>
      </w:pict>
    </w:r>
    <w:r w:rsidR="3E56B61F">
      <w:t>CCM/MSP/2024/1</w:t>
    </w:r>
    <w:r w:rsidR="00682C6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9FB9" w14:textId="30386267" w:rsidR="001C128B" w:rsidRPr="00775674" w:rsidRDefault="00533805" w:rsidP="00775674">
    <w:pPr>
      <w:pStyle w:val="Header"/>
      <w:jc w:val="right"/>
    </w:pPr>
    <w:r>
      <w:rPr>
        <w:noProof/>
      </w:rPr>
      <w:pict w14:anchorId="166EB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53767" o:spid="_x0000_s1027" type="#_x0000_t136" style="position:absolute;left:0;text-align:left;margin-left:0;margin-top:0;width:582.4pt;height:97.05pt;rotation:315;z-index:-251653120;mso-position-horizontal:center;mso-position-horizontal-relative:margin;mso-position-vertical:center;mso-position-vertical-relative:margin" o:allowincell="f" fillcolor="silver" stroked="f">
          <v:fill opacity=".5"/>
          <v:textpath style="font-family:&quot;Times New Roman&quot;;font-size:1pt" string="Advance copy"/>
        </v:shape>
      </w:pict>
    </w:r>
    <w:r w:rsidR="3E56B61F">
      <w:t>CCM/MSP/2024/1</w:t>
    </w:r>
    <w:r w:rsidR="00682C6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10F9D7D" w14:paraId="56162F4F" w14:textId="77777777" w:rsidTr="3E56B61F">
      <w:trPr>
        <w:trHeight w:val="300"/>
      </w:trPr>
      <w:tc>
        <w:tcPr>
          <w:tcW w:w="3210" w:type="dxa"/>
        </w:tcPr>
        <w:p w14:paraId="57E46F78" w14:textId="661B16D0" w:rsidR="210F9D7D" w:rsidRDefault="210F9D7D" w:rsidP="3E56B61F">
          <w:pPr>
            <w:ind w:left="-115"/>
          </w:pPr>
        </w:p>
      </w:tc>
      <w:tc>
        <w:tcPr>
          <w:tcW w:w="3210" w:type="dxa"/>
        </w:tcPr>
        <w:p w14:paraId="6B024ACB" w14:textId="7B7DA5F1" w:rsidR="210F9D7D" w:rsidRDefault="210F9D7D" w:rsidP="3E56B61F">
          <w:pPr>
            <w:jc w:val="center"/>
          </w:pPr>
        </w:p>
      </w:tc>
      <w:tc>
        <w:tcPr>
          <w:tcW w:w="3210" w:type="dxa"/>
        </w:tcPr>
        <w:p w14:paraId="0C56E722" w14:textId="500DEA78" w:rsidR="210F9D7D" w:rsidRDefault="210F9D7D" w:rsidP="3E56B61F">
          <w:pPr>
            <w:ind w:right="-115"/>
            <w:jc w:val="right"/>
          </w:pPr>
        </w:p>
      </w:tc>
    </w:tr>
  </w:tbl>
  <w:p w14:paraId="1047B9D8" w14:textId="64F3FC4F" w:rsidR="210F9D7D" w:rsidRDefault="00533805">
    <w:r>
      <w:rPr>
        <w:noProof/>
      </w:rPr>
      <w:pict w14:anchorId="7B7C2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53765" o:spid="_x0000_s1025" type="#_x0000_t136" style="position:absolute;margin-left:0;margin-top:0;width:582.4pt;height:97.05pt;rotation:315;z-index:-251657216;mso-position-horizontal:center;mso-position-horizontal-relative:margin;mso-position-vertical:center;mso-position-vertical-relative:margin" o:allowincell="f" fillcolor="silver" stroked="f">
          <v:fill opacity=".5"/>
          <v:textpath style="font-family:&quot;Times New Roman&quot;;font-size:1pt" string="Advance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7D5AA8"/>
    <w:multiLevelType w:val="hybridMultilevel"/>
    <w:tmpl w:val="CBA2A80E"/>
    <w:lvl w:ilvl="0" w:tplc="100C001B">
      <w:start w:val="1"/>
      <w:numFmt w:val="lowerRoman"/>
      <w:lvlText w:val="%1."/>
      <w:lvlJc w:val="righ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984"/>
        </w:tabs>
        <w:ind w:left="1417"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6882C2A"/>
    <w:multiLevelType w:val="hybridMultilevel"/>
    <w:tmpl w:val="F94C712E"/>
    <w:lvl w:ilvl="0" w:tplc="5DE0DD8C">
      <w:start w:val="4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9EE7595"/>
    <w:multiLevelType w:val="hybridMultilevel"/>
    <w:tmpl w:val="54BAF91E"/>
    <w:lvl w:ilvl="0" w:tplc="04090001">
      <w:start w:val="1"/>
      <w:numFmt w:val="bullet"/>
      <w:lvlText w:val=""/>
      <w:lvlJc w:val="left"/>
      <w:pPr>
        <w:ind w:left="5454" w:hanging="360"/>
      </w:pPr>
      <w:rPr>
        <w:rFonts w:ascii="Symbol" w:hAnsi="Symbol" w:hint="default"/>
      </w:rPr>
    </w:lvl>
    <w:lvl w:ilvl="1" w:tplc="04090003" w:tentative="1">
      <w:start w:val="1"/>
      <w:numFmt w:val="bullet"/>
      <w:lvlText w:val="o"/>
      <w:lvlJc w:val="left"/>
      <w:pPr>
        <w:ind w:left="6174" w:hanging="360"/>
      </w:pPr>
      <w:rPr>
        <w:rFonts w:ascii="Courier New" w:hAnsi="Courier New" w:cs="Courier New" w:hint="default"/>
      </w:rPr>
    </w:lvl>
    <w:lvl w:ilvl="2" w:tplc="04090005" w:tentative="1">
      <w:start w:val="1"/>
      <w:numFmt w:val="bullet"/>
      <w:lvlText w:val=""/>
      <w:lvlJc w:val="left"/>
      <w:pPr>
        <w:ind w:left="6894" w:hanging="360"/>
      </w:pPr>
      <w:rPr>
        <w:rFonts w:ascii="Wingdings" w:hAnsi="Wingdings" w:hint="default"/>
      </w:rPr>
    </w:lvl>
    <w:lvl w:ilvl="3" w:tplc="04090001" w:tentative="1">
      <w:start w:val="1"/>
      <w:numFmt w:val="bullet"/>
      <w:lvlText w:val=""/>
      <w:lvlJc w:val="left"/>
      <w:pPr>
        <w:ind w:left="7614" w:hanging="360"/>
      </w:pPr>
      <w:rPr>
        <w:rFonts w:ascii="Symbol" w:hAnsi="Symbol" w:hint="default"/>
      </w:rPr>
    </w:lvl>
    <w:lvl w:ilvl="4" w:tplc="04090003" w:tentative="1">
      <w:start w:val="1"/>
      <w:numFmt w:val="bullet"/>
      <w:lvlText w:val="o"/>
      <w:lvlJc w:val="left"/>
      <w:pPr>
        <w:ind w:left="8334" w:hanging="360"/>
      </w:pPr>
      <w:rPr>
        <w:rFonts w:ascii="Courier New" w:hAnsi="Courier New" w:cs="Courier New" w:hint="default"/>
      </w:rPr>
    </w:lvl>
    <w:lvl w:ilvl="5" w:tplc="04090005" w:tentative="1">
      <w:start w:val="1"/>
      <w:numFmt w:val="bullet"/>
      <w:lvlText w:val=""/>
      <w:lvlJc w:val="left"/>
      <w:pPr>
        <w:ind w:left="9054" w:hanging="360"/>
      </w:pPr>
      <w:rPr>
        <w:rFonts w:ascii="Wingdings" w:hAnsi="Wingdings" w:hint="default"/>
      </w:rPr>
    </w:lvl>
    <w:lvl w:ilvl="6" w:tplc="04090001" w:tentative="1">
      <w:start w:val="1"/>
      <w:numFmt w:val="bullet"/>
      <w:lvlText w:val=""/>
      <w:lvlJc w:val="left"/>
      <w:pPr>
        <w:ind w:left="9774" w:hanging="360"/>
      </w:pPr>
      <w:rPr>
        <w:rFonts w:ascii="Symbol" w:hAnsi="Symbol" w:hint="default"/>
      </w:rPr>
    </w:lvl>
    <w:lvl w:ilvl="7" w:tplc="04090003" w:tentative="1">
      <w:start w:val="1"/>
      <w:numFmt w:val="bullet"/>
      <w:lvlText w:val="o"/>
      <w:lvlJc w:val="left"/>
      <w:pPr>
        <w:ind w:left="10494" w:hanging="360"/>
      </w:pPr>
      <w:rPr>
        <w:rFonts w:ascii="Courier New" w:hAnsi="Courier New" w:cs="Courier New" w:hint="default"/>
      </w:rPr>
    </w:lvl>
    <w:lvl w:ilvl="8" w:tplc="04090005" w:tentative="1">
      <w:start w:val="1"/>
      <w:numFmt w:val="bullet"/>
      <w:lvlText w:val=""/>
      <w:lvlJc w:val="left"/>
      <w:pPr>
        <w:ind w:left="11214" w:hanging="360"/>
      </w:pPr>
      <w:rPr>
        <w:rFonts w:ascii="Wingdings" w:hAnsi="Wingdings" w:hint="default"/>
      </w:rPr>
    </w:lvl>
  </w:abstractNum>
  <w:num w:numId="1" w16cid:durableId="2133747699">
    <w:abstractNumId w:val="5"/>
  </w:num>
  <w:num w:numId="2" w16cid:durableId="1991396525">
    <w:abstractNumId w:val="4"/>
  </w:num>
  <w:num w:numId="3" w16cid:durableId="1405757167">
    <w:abstractNumId w:val="7"/>
  </w:num>
  <w:num w:numId="4" w16cid:durableId="1221790840">
    <w:abstractNumId w:val="3"/>
  </w:num>
  <w:num w:numId="5" w16cid:durableId="1054768743">
    <w:abstractNumId w:val="0"/>
  </w:num>
  <w:num w:numId="6" w16cid:durableId="1396245298">
    <w:abstractNumId w:val="2"/>
  </w:num>
  <w:num w:numId="7" w16cid:durableId="994336645">
    <w:abstractNumId w:val="2"/>
  </w:num>
  <w:num w:numId="8" w16cid:durableId="695038544">
    <w:abstractNumId w:val="2"/>
  </w:num>
  <w:num w:numId="9" w16cid:durableId="98528370">
    <w:abstractNumId w:val="9"/>
  </w:num>
  <w:num w:numId="10" w16cid:durableId="831340080">
    <w:abstractNumId w:val="6"/>
  </w:num>
  <w:num w:numId="11" w16cid:durableId="419831412">
    <w:abstractNumId w:val="2"/>
  </w:num>
  <w:num w:numId="12" w16cid:durableId="1412435444">
    <w:abstractNumId w:val="9"/>
  </w:num>
  <w:num w:numId="13" w16cid:durableId="1075469627">
    <w:abstractNumId w:val="6"/>
  </w:num>
  <w:num w:numId="14" w16cid:durableId="1364289759">
    <w:abstractNumId w:val="2"/>
  </w:num>
  <w:num w:numId="15" w16cid:durableId="925112283">
    <w:abstractNumId w:val="1"/>
  </w:num>
  <w:num w:numId="16" w16cid:durableId="1845591456">
    <w:abstractNumId w:val="8"/>
  </w:num>
  <w:num w:numId="17" w16cid:durableId="115691706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74"/>
    <w:rsid w:val="000019ED"/>
    <w:rsid w:val="00003E62"/>
    <w:rsid w:val="00004A0D"/>
    <w:rsid w:val="00010565"/>
    <w:rsid w:val="00012128"/>
    <w:rsid w:val="00012A34"/>
    <w:rsid w:val="00013604"/>
    <w:rsid w:val="00020063"/>
    <w:rsid w:val="00022780"/>
    <w:rsid w:val="0002378B"/>
    <w:rsid w:val="0002659B"/>
    <w:rsid w:val="00026709"/>
    <w:rsid w:val="000274C0"/>
    <w:rsid w:val="000304A6"/>
    <w:rsid w:val="0003087E"/>
    <w:rsid w:val="00033437"/>
    <w:rsid w:val="00033B38"/>
    <w:rsid w:val="0003785D"/>
    <w:rsid w:val="00040D1D"/>
    <w:rsid w:val="00042315"/>
    <w:rsid w:val="00042619"/>
    <w:rsid w:val="00043AE6"/>
    <w:rsid w:val="00045ED6"/>
    <w:rsid w:val="0004709C"/>
    <w:rsid w:val="00047687"/>
    <w:rsid w:val="000508A8"/>
    <w:rsid w:val="0005402F"/>
    <w:rsid w:val="00056068"/>
    <w:rsid w:val="0005762F"/>
    <w:rsid w:val="00057C95"/>
    <w:rsid w:val="000602DF"/>
    <w:rsid w:val="000613C4"/>
    <w:rsid w:val="00062261"/>
    <w:rsid w:val="00062EC7"/>
    <w:rsid w:val="00067C64"/>
    <w:rsid w:val="0007148F"/>
    <w:rsid w:val="00074104"/>
    <w:rsid w:val="00074D9E"/>
    <w:rsid w:val="0007650D"/>
    <w:rsid w:val="000765E5"/>
    <w:rsid w:val="00082A56"/>
    <w:rsid w:val="00084228"/>
    <w:rsid w:val="00086AD0"/>
    <w:rsid w:val="00087E98"/>
    <w:rsid w:val="00090660"/>
    <w:rsid w:val="00094FAB"/>
    <w:rsid w:val="00096586"/>
    <w:rsid w:val="00097591"/>
    <w:rsid w:val="00097F1B"/>
    <w:rsid w:val="000A11BD"/>
    <w:rsid w:val="000B1541"/>
    <w:rsid w:val="000B381B"/>
    <w:rsid w:val="000B3BD1"/>
    <w:rsid w:val="000B66F2"/>
    <w:rsid w:val="000C2270"/>
    <w:rsid w:val="000C2C38"/>
    <w:rsid w:val="000C5E98"/>
    <w:rsid w:val="000C7D8B"/>
    <w:rsid w:val="000D2C4C"/>
    <w:rsid w:val="000D36E0"/>
    <w:rsid w:val="000D40E1"/>
    <w:rsid w:val="000D42CB"/>
    <w:rsid w:val="000D4324"/>
    <w:rsid w:val="000D4EA7"/>
    <w:rsid w:val="000E1554"/>
    <w:rsid w:val="000E1937"/>
    <w:rsid w:val="000E1A72"/>
    <w:rsid w:val="000E1E6F"/>
    <w:rsid w:val="000E6BB5"/>
    <w:rsid w:val="000E6D41"/>
    <w:rsid w:val="000F119B"/>
    <w:rsid w:val="000F17C5"/>
    <w:rsid w:val="000F2853"/>
    <w:rsid w:val="000F2C28"/>
    <w:rsid w:val="000F56A5"/>
    <w:rsid w:val="000F600C"/>
    <w:rsid w:val="000F749B"/>
    <w:rsid w:val="000F77DA"/>
    <w:rsid w:val="000F78DD"/>
    <w:rsid w:val="0010045C"/>
    <w:rsid w:val="00100475"/>
    <w:rsid w:val="001015D9"/>
    <w:rsid w:val="0010493C"/>
    <w:rsid w:val="001061CF"/>
    <w:rsid w:val="00107F3C"/>
    <w:rsid w:val="00110E1F"/>
    <w:rsid w:val="00114200"/>
    <w:rsid w:val="00114798"/>
    <w:rsid w:val="00115584"/>
    <w:rsid w:val="0011727D"/>
    <w:rsid w:val="001175E8"/>
    <w:rsid w:val="00121BC8"/>
    <w:rsid w:val="00123157"/>
    <w:rsid w:val="0012333F"/>
    <w:rsid w:val="00124B03"/>
    <w:rsid w:val="001255B8"/>
    <w:rsid w:val="0012614C"/>
    <w:rsid w:val="00126717"/>
    <w:rsid w:val="0012731B"/>
    <w:rsid w:val="001277A3"/>
    <w:rsid w:val="00130393"/>
    <w:rsid w:val="00132A08"/>
    <w:rsid w:val="001359B4"/>
    <w:rsid w:val="0013632B"/>
    <w:rsid w:val="00137E43"/>
    <w:rsid w:val="001411C7"/>
    <w:rsid w:val="00145CDC"/>
    <w:rsid w:val="00146ABD"/>
    <w:rsid w:val="00150000"/>
    <w:rsid w:val="001500E8"/>
    <w:rsid w:val="00150C4B"/>
    <w:rsid w:val="00151CA8"/>
    <w:rsid w:val="00151F19"/>
    <w:rsid w:val="00154242"/>
    <w:rsid w:val="00155315"/>
    <w:rsid w:val="00161778"/>
    <w:rsid w:val="00161A12"/>
    <w:rsid w:val="001620D2"/>
    <w:rsid w:val="00163F09"/>
    <w:rsid w:val="001645E1"/>
    <w:rsid w:val="0016465B"/>
    <w:rsid w:val="001652A6"/>
    <w:rsid w:val="00166213"/>
    <w:rsid w:val="001701E5"/>
    <w:rsid w:val="00170E6E"/>
    <w:rsid w:val="0017243B"/>
    <w:rsid w:val="00172A2B"/>
    <w:rsid w:val="0017363C"/>
    <w:rsid w:val="001740C0"/>
    <w:rsid w:val="00174800"/>
    <w:rsid w:val="00174979"/>
    <w:rsid w:val="00177DCC"/>
    <w:rsid w:val="0018016E"/>
    <w:rsid w:val="001803DF"/>
    <w:rsid w:val="0018151B"/>
    <w:rsid w:val="00182020"/>
    <w:rsid w:val="001853E6"/>
    <w:rsid w:val="00187A0C"/>
    <w:rsid w:val="00187AAB"/>
    <w:rsid w:val="001911E2"/>
    <w:rsid w:val="001914C3"/>
    <w:rsid w:val="00192036"/>
    <w:rsid w:val="001957BE"/>
    <w:rsid w:val="0019774E"/>
    <w:rsid w:val="001A2734"/>
    <w:rsid w:val="001A5360"/>
    <w:rsid w:val="001A582F"/>
    <w:rsid w:val="001A5E8B"/>
    <w:rsid w:val="001A6594"/>
    <w:rsid w:val="001A72BE"/>
    <w:rsid w:val="001B0A3D"/>
    <w:rsid w:val="001B3D81"/>
    <w:rsid w:val="001B55BD"/>
    <w:rsid w:val="001B63C7"/>
    <w:rsid w:val="001B730F"/>
    <w:rsid w:val="001C128B"/>
    <w:rsid w:val="001C2C58"/>
    <w:rsid w:val="001C3F66"/>
    <w:rsid w:val="001C4A32"/>
    <w:rsid w:val="001C63A3"/>
    <w:rsid w:val="001D0936"/>
    <w:rsid w:val="001D09D4"/>
    <w:rsid w:val="001D0D9C"/>
    <w:rsid w:val="001D1ED6"/>
    <w:rsid w:val="001D781F"/>
    <w:rsid w:val="001E028F"/>
    <w:rsid w:val="001E242F"/>
    <w:rsid w:val="001E3681"/>
    <w:rsid w:val="001E6D67"/>
    <w:rsid w:val="001E6F9A"/>
    <w:rsid w:val="001F0FCD"/>
    <w:rsid w:val="001F15CD"/>
    <w:rsid w:val="001F2267"/>
    <w:rsid w:val="001F2D77"/>
    <w:rsid w:val="001F628B"/>
    <w:rsid w:val="001F736D"/>
    <w:rsid w:val="001F78B2"/>
    <w:rsid w:val="002008A8"/>
    <w:rsid w:val="00200D71"/>
    <w:rsid w:val="002015B8"/>
    <w:rsid w:val="0020435C"/>
    <w:rsid w:val="00206454"/>
    <w:rsid w:val="002064B2"/>
    <w:rsid w:val="00207544"/>
    <w:rsid w:val="002109ED"/>
    <w:rsid w:val="00210F02"/>
    <w:rsid w:val="00213C31"/>
    <w:rsid w:val="00213CE5"/>
    <w:rsid w:val="00214826"/>
    <w:rsid w:val="002149A5"/>
    <w:rsid w:val="00215CCB"/>
    <w:rsid w:val="00217AD1"/>
    <w:rsid w:val="002203A1"/>
    <w:rsid w:val="0022276E"/>
    <w:rsid w:val="00224509"/>
    <w:rsid w:val="00226526"/>
    <w:rsid w:val="0022709F"/>
    <w:rsid w:val="00227915"/>
    <w:rsid w:val="00227B74"/>
    <w:rsid w:val="00230C43"/>
    <w:rsid w:val="0023178E"/>
    <w:rsid w:val="00232D61"/>
    <w:rsid w:val="002332A6"/>
    <w:rsid w:val="00233C7E"/>
    <w:rsid w:val="00234093"/>
    <w:rsid w:val="00234386"/>
    <w:rsid w:val="0023483C"/>
    <w:rsid w:val="002357F3"/>
    <w:rsid w:val="00235CD6"/>
    <w:rsid w:val="002426EB"/>
    <w:rsid w:val="00243310"/>
    <w:rsid w:val="00243DC5"/>
    <w:rsid w:val="00245183"/>
    <w:rsid w:val="002452A8"/>
    <w:rsid w:val="0024560D"/>
    <w:rsid w:val="00245648"/>
    <w:rsid w:val="002478FE"/>
    <w:rsid w:val="00247C8D"/>
    <w:rsid w:val="002500F8"/>
    <w:rsid w:val="00251904"/>
    <w:rsid w:val="00251AF9"/>
    <w:rsid w:val="002521F5"/>
    <w:rsid w:val="0025274B"/>
    <w:rsid w:val="00253BC1"/>
    <w:rsid w:val="00254805"/>
    <w:rsid w:val="00255A5A"/>
    <w:rsid w:val="0026156A"/>
    <w:rsid w:val="00263DA0"/>
    <w:rsid w:val="00265968"/>
    <w:rsid w:val="00265F5E"/>
    <w:rsid w:val="0026705F"/>
    <w:rsid w:val="00267AA7"/>
    <w:rsid w:val="0027077B"/>
    <w:rsid w:val="00270FDD"/>
    <w:rsid w:val="00271314"/>
    <w:rsid w:val="002722A5"/>
    <w:rsid w:val="00273354"/>
    <w:rsid w:val="002740B9"/>
    <w:rsid w:val="00274F48"/>
    <w:rsid w:val="00275445"/>
    <w:rsid w:val="00275750"/>
    <w:rsid w:val="002764D2"/>
    <w:rsid w:val="00276828"/>
    <w:rsid w:val="00276AAA"/>
    <w:rsid w:val="00276C19"/>
    <w:rsid w:val="00281A7B"/>
    <w:rsid w:val="002828BE"/>
    <w:rsid w:val="0028390A"/>
    <w:rsid w:val="00283B6B"/>
    <w:rsid w:val="002860FC"/>
    <w:rsid w:val="00287B07"/>
    <w:rsid w:val="002902CC"/>
    <w:rsid w:val="002907F1"/>
    <w:rsid w:val="002927D6"/>
    <w:rsid w:val="00293FDE"/>
    <w:rsid w:val="00296022"/>
    <w:rsid w:val="002A256B"/>
    <w:rsid w:val="002A2C8D"/>
    <w:rsid w:val="002A3036"/>
    <w:rsid w:val="002A5634"/>
    <w:rsid w:val="002A593A"/>
    <w:rsid w:val="002B1B66"/>
    <w:rsid w:val="002B235B"/>
    <w:rsid w:val="002B2F11"/>
    <w:rsid w:val="002B7A0E"/>
    <w:rsid w:val="002C26F2"/>
    <w:rsid w:val="002C288D"/>
    <w:rsid w:val="002C30D6"/>
    <w:rsid w:val="002C551C"/>
    <w:rsid w:val="002C5DBF"/>
    <w:rsid w:val="002D14F1"/>
    <w:rsid w:val="002D27C4"/>
    <w:rsid w:val="002D2D67"/>
    <w:rsid w:val="002D57C7"/>
    <w:rsid w:val="002D58F6"/>
    <w:rsid w:val="002E1C09"/>
    <w:rsid w:val="002E25E1"/>
    <w:rsid w:val="002E5542"/>
    <w:rsid w:val="002E561F"/>
    <w:rsid w:val="002E5C44"/>
    <w:rsid w:val="002F061C"/>
    <w:rsid w:val="002F077A"/>
    <w:rsid w:val="002F2F09"/>
    <w:rsid w:val="002F3B90"/>
    <w:rsid w:val="002F448D"/>
    <w:rsid w:val="003007A9"/>
    <w:rsid w:val="003008D7"/>
    <w:rsid w:val="00300F4F"/>
    <w:rsid w:val="0030456F"/>
    <w:rsid w:val="00304D04"/>
    <w:rsid w:val="00305827"/>
    <w:rsid w:val="003119D5"/>
    <w:rsid w:val="00312AB8"/>
    <w:rsid w:val="0031359B"/>
    <w:rsid w:val="00314963"/>
    <w:rsid w:val="003149D0"/>
    <w:rsid w:val="00314A7A"/>
    <w:rsid w:val="00317EBC"/>
    <w:rsid w:val="00321A25"/>
    <w:rsid w:val="003224DE"/>
    <w:rsid w:val="00322B0B"/>
    <w:rsid w:val="00327289"/>
    <w:rsid w:val="0032793C"/>
    <w:rsid w:val="00330192"/>
    <w:rsid w:val="00330933"/>
    <w:rsid w:val="00332C45"/>
    <w:rsid w:val="003338C6"/>
    <w:rsid w:val="00336442"/>
    <w:rsid w:val="0034047B"/>
    <w:rsid w:val="00341EE5"/>
    <w:rsid w:val="00343208"/>
    <w:rsid w:val="00343E69"/>
    <w:rsid w:val="0034538D"/>
    <w:rsid w:val="00345F6A"/>
    <w:rsid w:val="003465A4"/>
    <w:rsid w:val="00346AFD"/>
    <w:rsid w:val="003567D4"/>
    <w:rsid w:val="003568B2"/>
    <w:rsid w:val="00360AC3"/>
    <w:rsid w:val="003622AB"/>
    <w:rsid w:val="003643A0"/>
    <w:rsid w:val="00364678"/>
    <w:rsid w:val="00364F65"/>
    <w:rsid w:val="0036546F"/>
    <w:rsid w:val="003659B2"/>
    <w:rsid w:val="0037129A"/>
    <w:rsid w:val="003718A0"/>
    <w:rsid w:val="00372184"/>
    <w:rsid w:val="00377682"/>
    <w:rsid w:val="00384869"/>
    <w:rsid w:val="003865F4"/>
    <w:rsid w:val="0038751D"/>
    <w:rsid w:val="00387B4B"/>
    <w:rsid w:val="00387C8D"/>
    <w:rsid w:val="00391525"/>
    <w:rsid w:val="003926B0"/>
    <w:rsid w:val="00394E0D"/>
    <w:rsid w:val="00396F81"/>
    <w:rsid w:val="0039726A"/>
    <w:rsid w:val="00397B1B"/>
    <w:rsid w:val="003A093F"/>
    <w:rsid w:val="003A0CE4"/>
    <w:rsid w:val="003A4DA7"/>
    <w:rsid w:val="003A518B"/>
    <w:rsid w:val="003A64B2"/>
    <w:rsid w:val="003A6600"/>
    <w:rsid w:val="003A6991"/>
    <w:rsid w:val="003A7AE4"/>
    <w:rsid w:val="003B5098"/>
    <w:rsid w:val="003B64AC"/>
    <w:rsid w:val="003B6773"/>
    <w:rsid w:val="003B772C"/>
    <w:rsid w:val="003C0C6A"/>
    <w:rsid w:val="003C3485"/>
    <w:rsid w:val="003C3D5A"/>
    <w:rsid w:val="003C5E8D"/>
    <w:rsid w:val="003C6087"/>
    <w:rsid w:val="003C67DC"/>
    <w:rsid w:val="003D101D"/>
    <w:rsid w:val="003D10C5"/>
    <w:rsid w:val="003D18F0"/>
    <w:rsid w:val="003D2959"/>
    <w:rsid w:val="003D2DA1"/>
    <w:rsid w:val="003D3736"/>
    <w:rsid w:val="003D548B"/>
    <w:rsid w:val="003E0F5A"/>
    <w:rsid w:val="003E1A41"/>
    <w:rsid w:val="003E29E2"/>
    <w:rsid w:val="003E3020"/>
    <w:rsid w:val="003E3CC1"/>
    <w:rsid w:val="003E43B8"/>
    <w:rsid w:val="003E4822"/>
    <w:rsid w:val="003E4AB3"/>
    <w:rsid w:val="003E5091"/>
    <w:rsid w:val="003E7B3F"/>
    <w:rsid w:val="003F1853"/>
    <w:rsid w:val="003F447B"/>
    <w:rsid w:val="003F447F"/>
    <w:rsid w:val="003F646A"/>
    <w:rsid w:val="00400AEC"/>
    <w:rsid w:val="00400F71"/>
    <w:rsid w:val="00402934"/>
    <w:rsid w:val="0040331F"/>
    <w:rsid w:val="00406FCF"/>
    <w:rsid w:val="00407E30"/>
    <w:rsid w:val="004102D7"/>
    <w:rsid w:val="0041107F"/>
    <w:rsid w:val="00411864"/>
    <w:rsid w:val="00411DB9"/>
    <w:rsid w:val="00414F31"/>
    <w:rsid w:val="00416B8D"/>
    <w:rsid w:val="00420023"/>
    <w:rsid w:val="00420B1A"/>
    <w:rsid w:val="00423395"/>
    <w:rsid w:val="00424238"/>
    <w:rsid w:val="00430028"/>
    <w:rsid w:val="00430141"/>
    <w:rsid w:val="00432C7F"/>
    <w:rsid w:val="00432ED8"/>
    <w:rsid w:val="00434487"/>
    <w:rsid w:val="00436CDF"/>
    <w:rsid w:val="0043775D"/>
    <w:rsid w:val="004430D1"/>
    <w:rsid w:val="00445835"/>
    <w:rsid w:val="004460BA"/>
    <w:rsid w:val="004542FF"/>
    <w:rsid w:val="00457B3F"/>
    <w:rsid w:val="004602B6"/>
    <w:rsid w:val="00461FFE"/>
    <w:rsid w:val="004635F9"/>
    <w:rsid w:val="0046517C"/>
    <w:rsid w:val="00467DDA"/>
    <w:rsid w:val="00474AFC"/>
    <w:rsid w:val="00474F3F"/>
    <w:rsid w:val="00475263"/>
    <w:rsid w:val="004760F6"/>
    <w:rsid w:val="00476A31"/>
    <w:rsid w:val="00481AC0"/>
    <w:rsid w:val="0048374E"/>
    <w:rsid w:val="00483E5E"/>
    <w:rsid w:val="00485255"/>
    <w:rsid w:val="0049050C"/>
    <w:rsid w:val="00495D43"/>
    <w:rsid w:val="0049634E"/>
    <w:rsid w:val="00496CF7"/>
    <w:rsid w:val="004A0EE7"/>
    <w:rsid w:val="004A1904"/>
    <w:rsid w:val="004A329C"/>
    <w:rsid w:val="004A6194"/>
    <w:rsid w:val="004A6560"/>
    <w:rsid w:val="004A7A03"/>
    <w:rsid w:val="004B14A8"/>
    <w:rsid w:val="004B19A0"/>
    <w:rsid w:val="004B23E3"/>
    <w:rsid w:val="004B2660"/>
    <w:rsid w:val="004B3600"/>
    <w:rsid w:val="004B3B65"/>
    <w:rsid w:val="004B4CCB"/>
    <w:rsid w:val="004B5568"/>
    <w:rsid w:val="004C181A"/>
    <w:rsid w:val="004C1F49"/>
    <w:rsid w:val="004C2965"/>
    <w:rsid w:val="004C32FB"/>
    <w:rsid w:val="004C5798"/>
    <w:rsid w:val="004C59D7"/>
    <w:rsid w:val="004C77E2"/>
    <w:rsid w:val="004C77EE"/>
    <w:rsid w:val="004D0B0D"/>
    <w:rsid w:val="004D1564"/>
    <w:rsid w:val="004D6EB4"/>
    <w:rsid w:val="004E1D27"/>
    <w:rsid w:val="004E2829"/>
    <w:rsid w:val="004E40E0"/>
    <w:rsid w:val="004E58D0"/>
    <w:rsid w:val="004E5D42"/>
    <w:rsid w:val="004E5D93"/>
    <w:rsid w:val="004E60FE"/>
    <w:rsid w:val="004E66F9"/>
    <w:rsid w:val="004E78E6"/>
    <w:rsid w:val="004F0ACA"/>
    <w:rsid w:val="004F0CA5"/>
    <w:rsid w:val="004F3866"/>
    <w:rsid w:val="004F3C24"/>
    <w:rsid w:val="004F4901"/>
    <w:rsid w:val="004F50C2"/>
    <w:rsid w:val="004F6546"/>
    <w:rsid w:val="004F7B74"/>
    <w:rsid w:val="00501990"/>
    <w:rsid w:val="00504397"/>
    <w:rsid w:val="005069F9"/>
    <w:rsid w:val="005079B6"/>
    <w:rsid w:val="00507B02"/>
    <w:rsid w:val="00511B71"/>
    <w:rsid w:val="0051220B"/>
    <w:rsid w:val="00513BF6"/>
    <w:rsid w:val="00521A35"/>
    <w:rsid w:val="005222C7"/>
    <w:rsid w:val="00522B31"/>
    <w:rsid w:val="00524F41"/>
    <w:rsid w:val="00525497"/>
    <w:rsid w:val="005258A6"/>
    <w:rsid w:val="00525ED0"/>
    <w:rsid w:val="00530729"/>
    <w:rsid w:val="0053128C"/>
    <w:rsid w:val="00533047"/>
    <w:rsid w:val="00533805"/>
    <w:rsid w:val="00534417"/>
    <w:rsid w:val="00534EEE"/>
    <w:rsid w:val="00537C97"/>
    <w:rsid w:val="005401B0"/>
    <w:rsid w:val="005442F8"/>
    <w:rsid w:val="00544A44"/>
    <w:rsid w:val="00553D63"/>
    <w:rsid w:val="005547F3"/>
    <w:rsid w:val="005563BD"/>
    <w:rsid w:val="005565D2"/>
    <w:rsid w:val="00557F7B"/>
    <w:rsid w:val="005627BC"/>
    <w:rsid w:val="005639D8"/>
    <w:rsid w:val="00567213"/>
    <w:rsid w:val="00571F78"/>
    <w:rsid w:val="005720F5"/>
    <w:rsid w:val="005722FA"/>
    <w:rsid w:val="005740EB"/>
    <w:rsid w:val="005758BF"/>
    <w:rsid w:val="00575D62"/>
    <w:rsid w:val="005811C1"/>
    <w:rsid w:val="00581D2C"/>
    <w:rsid w:val="00582BC0"/>
    <w:rsid w:val="0058742D"/>
    <w:rsid w:val="00590D6E"/>
    <w:rsid w:val="005921B3"/>
    <w:rsid w:val="005922F4"/>
    <w:rsid w:val="00594771"/>
    <w:rsid w:val="00594F22"/>
    <w:rsid w:val="005950F5"/>
    <w:rsid w:val="00595425"/>
    <w:rsid w:val="00597595"/>
    <w:rsid w:val="005A025E"/>
    <w:rsid w:val="005A154C"/>
    <w:rsid w:val="005A15C7"/>
    <w:rsid w:val="005A449A"/>
    <w:rsid w:val="005A61DC"/>
    <w:rsid w:val="005B11C6"/>
    <w:rsid w:val="005B2DD3"/>
    <w:rsid w:val="005B5F2D"/>
    <w:rsid w:val="005B6681"/>
    <w:rsid w:val="005C4018"/>
    <w:rsid w:val="005C40A0"/>
    <w:rsid w:val="005D0160"/>
    <w:rsid w:val="005D0565"/>
    <w:rsid w:val="005D0DF4"/>
    <w:rsid w:val="005D1032"/>
    <w:rsid w:val="005D28CE"/>
    <w:rsid w:val="005D2F98"/>
    <w:rsid w:val="005D43EB"/>
    <w:rsid w:val="005D70A4"/>
    <w:rsid w:val="005E1E69"/>
    <w:rsid w:val="005E2C03"/>
    <w:rsid w:val="005E35FA"/>
    <w:rsid w:val="005E47FC"/>
    <w:rsid w:val="005F009E"/>
    <w:rsid w:val="005F17F8"/>
    <w:rsid w:val="005F2D82"/>
    <w:rsid w:val="005F3D7F"/>
    <w:rsid w:val="005F4FAD"/>
    <w:rsid w:val="005F56D3"/>
    <w:rsid w:val="005F5838"/>
    <w:rsid w:val="005F7DB7"/>
    <w:rsid w:val="006026E8"/>
    <w:rsid w:val="006027D2"/>
    <w:rsid w:val="0060532D"/>
    <w:rsid w:val="006100F4"/>
    <w:rsid w:val="0061103A"/>
    <w:rsid w:val="006147C5"/>
    <w:rsid w:val="00615F3A"/>
    <w:rsid w:val="006170AB"/>
    <w:rsid w:val="006202A6"/>
    <w:rsid w:val="0062130F"/>
    <w:rsid w:val="006218FA"/>
    <w:rsid w:val="00622744"/>
    <w:rsid w:val="00623A82"/>
    <w:rsid w:val="006245C2"/>
    <w:rsid w:val="00624D0D"/>
    <w:rsid w:val="00624DB3"/>
    <w:rsid w:val="00625DF9"/>
    <w:rsid w:val="00627C7F"/>
    <w:rsid w:val="00631B59"/>
    <w:rsid w:val="0063207B"/>
    <w:rsid w:val="006356B9"/>
    <w:rsid w:val="00635948"/>
    <w:rsid w:val="006402BA"/>
    <w:rsid w:val="006414DD"/>
    <w:rsid w:val="00641853"/>
    <w:rsid w:val="0064449E"/>
    <w:rsid w:val="00644F88"/>
    <w:rsid w:val="00646685"/>
    <w:rsid w:val="006526D8"/>
    <w:rsid w:val="006552BB"/>
    <w:rsid w:val="0065616E"/>
    <w:rsid w:val="00657E71"/>
    <w:rsid w:val="00660E64"/>
    <w:rsid w:val="0066159C"/>
    <w:rsid w:val="00661A28"/>
    <w:rsid w:val="006634D8"/>
    <w:rsid w:val="00663EEA"/>
    <w:rsid w:val="006645A3"/>
    <w:rsid w:val="00671926"/>
    <w:rsid w:val="00672C14"/>
    <w:rsid w:val="00673DBC"/>
    <w:rsid w:val="00675160"/>
    <w:rsid w:val="00675212"/>
    <w:rsid w:val="00675AF2"/>
    <w:rsid w:val="00682C6C"/>
    <w:rsid w:val="00683812"/>
    <w:rsid w:val="0068390F"/>
    <w:rsid w:val="0068683D"/>
    <w:rsid w:val="00686D00"/>
    <w:rsid w:val="00687013"/>
    <w:rsid w:val="00690C85"/>
    <w:rsid w:val="006920AD"/>
    <w:rsid w:val="00693144"/>
    <w:rsid w:val="00696E72"/>
    <w:rsid w:val="00697212"/>
    <w:rsid w:val="006A0DAF"/>
    <w:rsid w:val="006A2424"/>
    <w:rsid w:val="006A41BE"/>
    <w:rsid w:val="006A4761"/>
    <w:rsid w:val="006A6043"/>
    <w:rsid w:val="006A70C4"/>
    <w:rsid w:val="006A71F4"/>
    <w:rsid w:val="006A7DD8"/>
    <w:rsid w:val="006B0AE1"/>
    <w:rsid w:val="006B11C0"/>
    <w:rsid w:val="006B1D27"/>
    <w:rsid w:val="006B318B"/>
    <w:rsid w:val="006B335C"/>
    <w:rsid w:val="006B3787"/>
    <w:rsid w:val="006B6169"/>
    <w:rsid w:val="006C048A"/>
    <w:rsid w:val="006C3BC7"/>
    <w:rsid w:val="006C3E70"/>
    <w:rsid w:val="006C461D"/>
    <w:rsid w:val="006D068B"/>
    <w:rsid w:val="006D2E6B"/>
    <w:rsid w:val="006D5CA3"/>
    <w:rsid w:val="006D638D"/>
    <w:rsid w:val="006D76E3"/>
    <w:rsid w:val="006D7909"/>
    <w:rsid w:val="006E10E4"/>
    <w:rsid w:val="006E1277"/>
    <w:rsid w:val="006E4FD7"/>
    <w:rsid w:val="006E53B9"/>
    <w:rsid w:val="006F1302"/>
    <w:rsid w:val="006F60F9"/>
    <w:rsid w:val="007012B0"/>
    <w:rsid w:val="00703AA7"/>
    <w:rsid w:val="007047A3"/>
    <w:rsid w:val="00705188"/>
    <w:rsid w:val="00706476"/>
    <w:rsid w:val="007071E0"/>
    <w:rsid w:val="007126F9"/>
    <w:rsid w:val="00713C49"/>
    <w:rsid w:val="0072047E"/>
    <w:rsid w:val="00720E28"/>
    <w:rsid w:val="00722B6D"/>
    <w:rsid w:val="00727569"/>
    <w:rsid w:val="0073218C"/>
    <w:rsid w:val="00732897"/>
    <w:rsid w:val="00732B49"/>
    <w:rsid w:val="00734439"/>
    <w:rsid w:val="00734AFD"/>
    <w:rsid w:val="00741E1D"/>
    <w:rsid w:val="00741F71"/>
    <w:rsid w:val="007421C4"/>
    <w:rsid w:val="007447DB"/>
    <w:rsid w:val="0074784B"/>
    <w:rsid w:val="007521A5"/>
    <w:rsid w:val="0075341E"/>
    <w:rsid w:val="007536E0"/>
    <w:rsid w:val="00753B3F"/>
    <w:rsid w:val="00761D4A"/>
    <w:rsid w:val="00761ED7"/>
    <w:rsid w:val="00763133"/>
    <w:rsid w:val="00763179"/>
    <w:rsid w:val="007649BE"/>
    <w:rsid w:val="00765558"/>
    <w:rsid w:val="007660BB"/>
    <w:rsid w:val="00773125"/>
    <w:rsid w:val="0077356F"/>
    <w:rsid w:val="007742C5"/>
    <w:rsid w:val="00775674"/>
    <w:rsid w:val="0077781D"/>
    <w:rsid w:val="00777BA2"/>
    <w:rsid w:val="0078027D"/>
    <w:rsid w:val="00784A31"/>
    <w:rsid w:val="00792355"/>
    <w:rsid w:val="0079390E"/>
    <w:rsid w:val="00794EE2"/>
    <w:rsid w:val="00795D8C"/>
    <w:rsid w:val="007973C9"/>
    <w:rsid w:val="007A49CA"/>
    <w:rsid w:val="007B1FD5"/>
    <w:rsid w:val="007B2189"/>
    <w:rsid w:val="007B4C3C"/>
    <w:rsid w:val="007B6448"/>
    <w:rsid w:val="007B7F7F"/>
    <w:rsid w:val="007C1295"/>
    <w:rsid w:val="007C4CF5"/>
    <w:rsid w:val="007C4CFB"/>
    <w:rsid w:val="007C605F"/>
    <w:rsid w:val="007D1926"/>
    <w:rsid w:val="007D2D49"/>
    <w:rsid w:val="007D2D93"/>
    <w:rsid w:val="007D3E6F"/>
    <w:rsid w:val="007D5839"/>
    <w:rsid w:val="007D6D85"/>
    <w:rsid w:val="007E5268"/>
    <w:rsid w:val="007F2971"/>
    <w:rsid w:val="007F2FEC"/>
    <w:rsid w:val="007F3796"/>
    <w:rsid w:val="007F406E"/>
    <w:rsid w:val="007F5B27"/>
    <w:rsid w:val="007F5CC1"/>
    <w:rsid w:val="007F5F5C"/>
    <w:rsid w:val="007F72BA"/>
    <w:rsid w:val="007F7CD6"/>
    <w:rsid w:val="00801069"/>
    <w:rsid w:val="00806493"/>
    <w:rsid w:val="0080682C"/>
    <w:rsid w:val="008070BF"/>
    <w:rsid w:val="008112A6"/>
    <w:rsid w:val="00814450"/>
    <w:rsid w:val="008201C5"/>
    <w:rsid w:val="00823DF1"/>
    <w:rsid w:val="00827BE2"/>
    <w:rsid w:val="00831BCB"/>
    <w:rsid w:val="008320F2"/>
    <w:rsid w:val="008329E8"/>
    <w:rsid w:val="00832D5A"/>
    <w:rsid w:val="008335C0"/>
    <w:rsid w:val="0083478F"/>
    <w:rsid w:val="00836672"/>
    <w:rsid w:val="00841C2D"/>
    <w:rsid w:val="00842C46"/>
    <w:rsid w:val="00843B8E"/>
    <w:rsid w:val="00850667"/>
    <w:rsid w:val="00850C93"/>
    <w:rsid w:val="00850EB6"/>
    <w:rsid w:val="008523B8"/>
    <w:rsid w:val="00855518"/>
    <w:rsid w:val="00855747"/>
    <w:rsid w:val="00856C32"/>
    <w:rsid w:val="00861078"/>
    <w:rsid w:val="00862DE3"/>
    <w:rsid w:val="008636E4"/>
    <w:rsid w:val="00863FE7"/>
    <w:rsid w:val="00864190"/>
    <w:rsid w:val="008646FA"/>
    <w:rsid w:val="00864E55"/>
    <w:rsid w:val="00871524"/>
    <w:rsid w:val="00872B9D"/>
    <w:rsid w:val="008747AC"/>
    <w:rsid w:val="00875D0B"/>
    <w:rsid w:val="00875D8C"/>
    <w:rsid w:val="00877271"/>
    <w:rsid w:val="008776AC"/>
    <w:rsid w:val="008777F7"/>
    <w:rsid w:val="00881A73"/>
    <w:rsid w:val="008828AC"/>
    <w:rsid w:val="008832CE"/>
    <w:rsid w:val="00884FEF"/>
    <w:rsid w:val="00885736"/>
    <w:rsid w:val="00886E9A"/>
    <w:rsid w:val="00887A20"/>
    <w:rsid w:val="00890BE8"/>
    <w:rsid w:val="00893281"/>
    <w:rsid w:val="008941FC"/>
    <w:rsid w:val="00894719"/>
    <w:rsid w:val="0089587F"/>
    <w:rsid w:val="0089638F"/>
    <w:rsid w:val="00897E32"/>
    <w:rsid w:val="008A1CC0"/>
    <w:rsid w:val="008A344E"/>
    <w:rsid w:val="008A3A49"/>
    <w:rsid w:val="008A5635"/>
    <w:rsid w:val="008A59DE"/>
    <w:rsid w:val="008A716C"/>
    <w:rsid w:val="008B36C7"/>
    <w:rsid w:val="008B3EA8"/>
    <w:rsid w:val="008B5D68"/>
    <w:rsid w:val="008C0533"/>
    <w:rsid w:val="008C4916"/>
    <w:rsid w:val="008C4977"/>
    <w:rsid w:val="008C533F"/>
    <w:rsid w:val="008C7A5C"/>
    <w:rsid w:val="008D01ED"/>
    <w:rsid w:val="008D10DB"/>
    <w:rsid w:val="008D17C2"/>
    <w:rsid w:val="008D184A"/>
    <w:rsid w:val="008D2A37"/>
    <w:rsid w:val="008D382A"/>
    <w:rsid w:val="008D3FE7"/>
    <w:rsid w:val="008D5186"/>
    <w:rsid w:val="008D5E25"/>
    <w:rsid w:val="008E1B39"/>
    <w:rsid w:val="008E4563"/>
    <w:rsid w:val="008E68AC"/>
    <w:rsid w:val="008E6E68"/>
    <w:rsid w:val="008F0418"/>
    <w:rsid w:val="008F057E"/>
    <w:rsid w:val="008F220E"/>
    <w:rsid w:val="008F2A4B"/>
    <w:rsid w:val="008F491A"/>
    <w:rsid w:val="008F4AB6"/>
    <w:rsid w:val="008F6211"/>
    <w:rsid w:val="008F7E39"/>
    <w:rsid w:val="0090022F"/>
    <w:rsid w:val="009030E8"/>
    <w:rsid w:val="00904BBB"/>
    <w:rsid w:val="009053A7"/>
    <w:rsid w:val="009053E3"/>
    <w:rsid w:val="0090594B"/>
    <w:rsid w:val="00906273"/>
    <w:rsid w:val="00906812"/>
    <w:rsid w:val="00911299"/>
    <w:rsid w:val="009144EA"/>
    <w:rsid w:val="009155E1"/>
    <w:rsid w:val="009161F9"/>
    <w:rsid w:val="00921DCF"/>
    <w:rsid w:val="009229A6"/>
    <w:rsid w:val="0092607C"/>
    <w:rsid w:val="009273BC"/>
    <w:rsid w:val="00930F9E"/>
    <w:rsid w:val="00932104"/>
    <w:rsid w:val="00937F23"/>
    <w:rsid w:val="00937F8E"/>
    <w:rsid w:val="009420C0"/>
    <w:rsid w:val="00942E0B"/>
    <w:rsid w:val="00944390"/>
    <w:rsid w:val="00944668"/>
    <w:rsid w:val="00945923"/>
    <w:rsid w:val="009465E4"/>
    <w:rsid w:val="00947B08"/>
    <w:rsid w:val="0095124C"/>
    <w:rsid w:val="00954666"/>
    <w:rsid w:val="00954722"/>
    <w:rsid w:val="00954C83"/>
    <w:rsid w:val="00956A6F"/>
    <w:rsid w:val="00960A69"/>
    <w:rsid w:val="00961474"/>
    <w:rsid w:val="00964BB3"/>
    <w:rsid w:val="00964BC5"/>
    <w:rsid w:val="0096534C"/>
    <w:rsid w:val="00966BBC"/>
    <w:rsid w:val="00967147"/>
    <w:rsid w:val="00967E3F"/>
    <w:rsid w:val="0097073A"/>
    <w:rsid w:val="00974D1D"/>
    <w:rsid w:val="009768F1"/>
    <w:rsid w:val="00976CF1"/>
    <w:rsid w:val="0097769F"/>
    <w:rsid w:val="00977865"/>
    <w:rsid w:val="00980786"/>
    <w:rsid w:val="00981A3D"/>
    <w:rsid w:val="00981D25"/>
    <w:rsid w:val="00982187"/>
    <w:rsid w:val="009827C2"/>
    <w:rsid w:val="00983999"/>
    <w:rsid w:val="00984A71"/>
    <w:rsid w:val="00986CA4"/>
    <w:rsid w:val="009906A2"/>
    <w:rsid w:val="00993A5E"/>
    <w:rsid w:val="00993B28"/>
    <w:rsid w:val="00993C43"/>
    <w:rsid w:val="0099461E"/>
    <w:rsid w:val="00994D0D"/>
    <w:rsid w:val="00994F22"/>
    <w:rsid w:val="00995AFA"/>
    <w:rsid w:val="00995DCA"/>
    <w:rsid w:val="00995E6D"/>
    <w:rsid w:val="0099745E"/>
    <w:rsid w:val="009A034E"/>
    <w:rsid w:val="009A0458"/>
    <w:rsid w:val="009A0F46"/>
    <w:rsid w:val="009A1BA3"/>
    <w:rsid w:val="009A2F70"/>
    <w:rsid w:val="009A5C13"/>
    <w:rsid w:val="009A6002"/>
    <w:rsid w:val="009A60C2"/>
    <w:rsid w:val="009A701E"/>
    <w:rsid w:val="009B06E1"/>
    <w:rsid w:val="009B0F4B"/>
    <w:rsid w:val="009B64C3"/>
    <w:rsid w:val="009B6979"/>
    <w:rsid w:val="009C1866"/>
    <w:rsid w:val="009C20AE"/>
    <w:rsid w:val="009C26B1"/>
    <w:rsid w:val="009C49BF"/>
    <w:rsid w:val="009C656A"/>
    <w:rsid w:val="009C76B6"/>
    <w:rsid w:val="009D1D06"/>
    <w:rsid w:val="009D2659"/>
    <w:rsid w:val="009D4424"/>
    <w:rsid w:val="009D691D"/>
    <w:rsid w:val="009E0403"/>
    <w:rsid w:val="009E0FC1"/>
    <w:rsid w:val="009E204A"/>
    <w:rsid w:val="009E2850"/>
    <w:rsid w:val="009E361A"/>
    <w:rsid w:val="009E58FA"/>
    <w:rsid w:val="009F2CC7"/>
    <w:rsid w:val="009F412A"/>
    <w:rsid w:val="009F56BB"/>
    <w:rsid w:val="00A00ACA"/>
    <w:rsid w:val="00A021AD"/>
    <w:rsid w:val="00A02F4A"/>
    <w:rsid w:val="00A03479"/>
    <w:rsid w:val="00A0367B"/>
    <w:rsid w:val="00A03BEF"/>
    <w:rsid w:val="00A04047"/>
    <w:rsid w:val="00A048E9"/>
    <w:rsid w:val="00A05A7F"/>
    <w:rsid w:val="00A111AA"/>
    <w:rsid w:val="00A12811"/>
    <w:rsid w:val="00A12A13"/>
    <w:rsid w:val="00A16399"/>
    <w:rsid w:val="00A163C2"/>
    <w:rsid w:val="00A1672D"/>
    <w:rsid w:val="00A170B7"/>
    <w:rsid w:val="00A17BF3"/>
    <w:rsid w:val="00A21685"/>
    <w:rsid w:val="00A23293"/>
    <w:rsid w:val="00A23345"/>
    <w:rsid w:val="00A25CBC"/>
    <w:rsid w:val="00A27D07"/>
    <w:rsid w:val="00A30642"/>
    <w:rsid w:val="00A30A8E"/>
    <w:rsid w:val="00A32127"/>
    <w:rsid w:val="00A360FE"/>
    <w:rsid w:val="00A362AD"/>
    <w:rsid w:val="00A36969"/>
    <w:rsid w:val="00A378B0"/>
    <w:rsid w:val="00A37F6F"/>
    <w:rsid w:val="00A402DF"/>
    <w:rsid w:val="00A40622"/>
    <w:rsid w:val="00A41037"/>
    <w:rsid w:val="00A41141"/>
    <w:rsid w:val="00A430EF"/>
    <w:rsid w:val="00A44123"/>
    <w:rsid w:val="00A45866"/>
    <w:rsid w:val="00A45E25"/>
    <w:rsid w:val="00A51430"/>
    <w:rsid w:val="00A52CED"/>
    <w:rsid w:val="00A52D2B"/>
    <w:rsid w:val="00A54BDA"/>
    <w:rsid w:val="00A56881"/>
    <w:rsid w:val="00A57C35"/>
    <w:rsid w:val="00A60B94"/>
    <w:rsid w:val="00A62144"/>
    <w:rsid w:val="00A628E8"/>
    <w:rsid w:val="00A64A1F"/>
    <w:rsid w:val="00A677DD"/>
    <w:rsid w:val="00A71A31"/>
    <w:rsid w:val="00A73D4F"/>
    <w:rsid w:val="00A747FC"/>
    <w:rsid w:val="00A75F0C"/>
    <w:rsid w:val="00A77D91"/>
    <w:rsid w:val="00A8592E"/>
    <w:rsid w:val="00A86435"/>
    <w:rsid w:val="00A91555"/>
    <w:rsid w:val="00A91FA7"/>
    <w:rsid w:val="00A946D8"/>
    <w:rsid w:val="00A96E12"/>
    <w:rsid w:val="00A977F2"/>
    <w:rsid w:val="00AA3E8F"/>
    <w:rsid w:val="00AA4394"/>
    <w:rsid w:val="00AA6F2F"/>
    <w:rsid w:val="00AB0D92"/>
    <w:rsid w:val="00AB1900"/>
    <w:rsid w:val="00AB1918"/>
    <w:rsid w:val="00AB1E7D"/>
    <w:rsid w:val="00AB6084"/>
    <w:rsid w:val="00AB787F"/>
    <w:rsid w:val="00AC2264"/>
    <w:rsid w:val="00AC3C51"/>
    <w:rsid w:val="00AC4709"/>
    <w:rsid w:val="00AC4BFA"/>
    <w:rsid w:val="00AD06A4"/>
    <w:rsid w:val="00AD4917"/>
    <w:rsid w:val="00AD53DF"/>
    <w:rsid w:val="00AD650A"/>
    <w:rsid w:val="00AD6BC7"/>
    <w:rsid w:val="00AD715B"/>
    <w:rsid w:val="00AD71A8"/>
    <w:rsid w:val="00AD7947"/>
    <w:rsid w:val="00AE1CAD"/>
    <w:rsid w:val="00AE1D52"/>
    <w:rsid w:val="00AE4624"/>
    <w:rsid w:val="00AE5199"/>
    <w:rsid w:val="00AE7B05"/>
    <w:rsid w:val="00AF0398"/>
    <w:rsid w:val="00AF3851"/>
    <w:rsid w:val="00AF3AEA"/>
    <w:rsid w:val="00AF580C"/>
    <w:rsid w:val="00AF5F42"/>
    <w:rsid w:val="00AF6441"/>
    <w:rsid w:val="00AF666F"/>
    <w:rsid w:val="00AF7C12"/>
    <w:rsid w:val="00AF7E1C"/>
    <w:rsid w:val="00B02168"/>
    <w:rsid w:val="00B03332"/>
    <w:rsid w:val="00B077E9"/>
    <w:rsid w:val="00B10F6E"/>
    <w:rsid w:val="00B1188F"/>
    <w:rsid w:val="00B12659"/>
    <w:rsid w:val="00B12EDE"/>
    <w:rsid w:val="00B1483B"/>
    <w:rsid w:val="00B163B8"/>
    <w:rsid w:val="00B1683F"/>
    <w:rsid w:val="00B1786F"/>
    <w:rsid w:val="00B17FF4"/>
    <w:rsid w:val="00B20AB6"/>
    <w:rsid w:val="00B20E9D"/>
    <w:rsid w:val="00B2115A"/>
    <w:rsid w:val="00B23532"/>
    <w:rsid w:val="00B24091"/>
    <w:rsid w:val="00B24FB4"/>
    <w:rsid w:val="00B302D6"/>
    <w:rsid w:val="00B3078A"/>
    <w:rsid w:val="00B31C57"/>
    <w:rsid w:val="00B35115"/>
    <w:rsid w:val="00B36D2E"/>
    <w:rsid w:val="00B3749F"/>
    <w:rsid w:val="00B40818"/>
    <w:rsid w:val="00B4154A"/>
    <w:rsid w:val="00B42C83"/>
    <w:rsid w:val="00B47A1D"/>
    <w:rsid w:val="00B47BF3"/>
    <w:rsid w:val="00B50488"/>
    <w:rsid w:val="00B5064B"/>
    <w:rsid w:val="00B50CEB"/>
    <w:rsid w:val="00B53622"/>
    <w:rsid w:val="00B53B58"/>
    <w:rsid w:val="00B61ADD"/>
    <w:rsid w:val="00B63B21"/>
    <w:rsid w:val="00B66822"/>
    <w:rsid w:val="00B670F3"/>
    <w:rsid w:val="00B700EC"/>
    <w:rsid w:val="00B712C2"/>
    <w:rsid w:val="00B71E57"/>
    <w:rsid w:val="00B720AB"/>
    <w:rsid w:val="00B7479C"/>
    <w:rsid w:val="00B75714"/>
    <w:rsid w:val="00B766B4"/>
    <w:rsid w:val="00B85FC2"/>
    <w:rsid w:val="00B90C26"/>
    <w:rsid w:val="00B9403F"/>
    <w:rsid w:val="00B945B5"/>
    <w:rsid w:val="00B95528"/>
    <w:rsid w:val="00B97A5D"/>
    <w:rsid w:val="00BA07BB"/>
    <w:rsid w:val="00BA1A84"/>
    <w:rsid w:val="00BA1B06"/>
    <w:rsid w:val="00BA25A4"/>
    <w:rsid w:val="00BA6C05"/>
    <w:rsid w:val="00BB3611"/>
    <w:rsid w:val="00BB55BF"/>
    <w:rsid w:val="00BB628C"/>
    <w:rsid w:val="00BB775D"/>
    <w:rsid w:val="00BB7B63"/>
    <w:rsid w:val="00BB7DEB"/>
    <w:rsid w:val="00BC0E25"/>
    <w:rsid w:val="00BC1586"/>
    <w:rsid w:val="00BC1CF7"/>
    <w:rsid w:val="00BC288C"/>
    <w:rsid w:val="00BC312A"/>
    <w:rsid w:val="00BC3AE8"/>
    <w:rsid w:val="00BC6C3C"/>
    <w:rsid w:val="00BD0B34"/>
    <w:rsid w:val="00BD1B6B"/>
    <w:rsid w:val="00BE0B5D"/>
    <w:rsid w:val="00BE2BDB"/>
    <w:rsid w:val="00BE2C23"/>
    <w:rsid w:val="00BE62E1"/>
    <w:rsid w:val="00BE6FDD"/>
    <w:rsid w:val="00BF18CB"/>
    <w:rsid w:val="00BF1F40"/>
    <w:rsid w:val="00BF21E1"/>
    <w:rsid w:val="00BF247B"/>
    <w:rsid w:val="00BF4C36"/>
    <w:rsid w:val="00BF688E"/>
    <w:rsid w:val="00BF77BF"/>
    <w:rsid w:val="00BF77EB"/>
    <w:rsid w:val="00BF7E0A"/>
    <w:rsid w:val="00C01B04"/>
    <w:rsid w:val="00C0487B"/>
    <w:rsid w:val="00C050F6"/>
    <w:rsid w:val="00C05889"/>
    <w:rsid w:val="00C05FE1"/>
    <w:rsid w:val="00C0655D"/>
    <w:rsid w:val="00C07F9E"/>
    <w:rsid w:val="00C123DF"/>
    <w:rsid w:val="00C12C19"/>
    <w:rsid w:val="00C13B3C"/>
    <w:rsid w:val="00C148B5"/>
    <w:rsid w:val="00C15E23"/>
    <w:rsid w:val="00C16BFB"/>
    <w:rsid w:val="00C222EF"/>
    <w:rsid w:val="00C22DB3"/>
    <w:rsid w:val="00C2331A"/>
    <w:rsid w:val="00C24618"/>
    <w:rsid w:val="00C2477A"/>
    <w:rsid w:val="00C24F5B"/>
    <w:rsid w:val="00C25629"/>
    <w:rsid w:val="00C26991"/>
    <w:rsid w:val="00C301B1"/>
    <w:rsid w:val="00C308D7"/>
    <w:rsid w:val="00C32B4C"/>
    <w:rsid w:val="00C336B5"/>
    <w:rsid w:val="00C356AA"/>
    <w:rsid w:val="00C432D5"/>
    <w:rsid w:val="00C44541"/>
    <w:rsid w:val="00C44660"/>
    <w:rsid w:val="00C456BD"/>
    <w:rsid w:val="00C458F7"/>
    <w:rsid w:val="00C45BE2"/>
    <w:rsid w:val="00C476D0"/>
    <w:rsid w:val="00C50582"/>
    <w:rsid w:val="00C50871"/>
    <w:rsid w:val="00C50CFF"/>
    <w:rsid w:val="00C51418"/>
    <w:rsid w:val="00C526DD"/>
    <w:rsid w:val="00C535E0"/>
    <w:rsid w:val="00C55009"/>
    <w:rsid w:val="00C55A41"/>
    <w:rsid w:val="00C57A0A"/>
    <w:rsid w:val="00C6051F"/>
    <w:rsid w:val="00C61069"/>
    <w:rsid w:val="00C625D2"/>
    <w:rsid w:val="00C730FC"/>
    <w:rsid w:val="00C8200C"/>
    <w:rsid w:val="00C82B45"/>
    <w:rsid w:val="00C83EBF"/>
    <w:rsid w:val="00C93EE9"/>
    <w:rsid w:val="00C9639D"/>
    <w:rsid w:val="00C968B2"/>
    <w:rsid w:val="00CA280C"/>
    <w:rsid w:val="00CA2E01"/>
    <w:rsid w:val="00CA31AA"/>
    <w:rsid w:val="00CA5985"/>
    <w:rsid w:val="00CA6370"/>
    <w:rsid w:val="00CB3A97"/>
    <w:rsid w:val="00CB427E"/>
    <w:rsid w:val="00CB4843"/>
    <w:rsid w:val="00CB4E56"/>
    <w:rsid w:val="00CB5539"/>
    <w:rsid w:val="00CC0544"/>
    <w:rsid w:val="00CC2517"/>
    <w:rsid w:val="00CC2592"/>
    <w:rsid w:val="00CC36FF"/>
    <w:rsid w:val="00CC62EA"/>
    <w:rsid w:val="00CC7B8D"/>
    <w:rsid w:val="00CC7F06"/>
    <w:rsid w:val="00CD1A11"/>
    <w:rsid w:val="00CD1BA5"/>
    <w:rsid w:val="00CD1E0E"/>
    <w:rsid w:val="00CD355A"/>
    <w:rsid w:val="00CD35CF"/>
    <w:rsid w:val="00CD670F"/>
    <w:rsid w:val="00CD77C7"/>
    <w:rsid w:val="00CE1326"/>
    <w:rsid w:val="00CE360F"/>
    <w:rsid w:val="00CE58D8"/>
    <w:rsid w:val="00CE58FF"/>
    <w:rsid w:val="00CE672C"/>
    <w:rsid w:val="00CE765C"/>
    <w:rsid w:val="00CE7D4A"/>
    <w:rsid w:val="00CF0922"/>
    <w:rsid w:val="00CF0C62"/>
    <w:rsid w:val="00CF0F1B"/>
    <w:rsid w:val="00CF64AF"/>
    <w:rsid w:val="00D01D7A"/>
    <w:rsid w:val="00D02A21"/>
    <w:rsid w:val="00D03097"/>
    <w:rsid w:val="00D034BE"/>
    <w:rsid w:val="00D037B8"/>
    <w:rsid w:val="00D03D22"/>
    <w:rsid w:val="00D0431C"/>
    <w:rsid w:val="00D05881"/>
    <w:rsid w:val="00D05D79"/>
    <w:rsid w:val="00D073D0"/>
    <w:rsid w:val="00D12C4C"/>
    <w:rsid w:val="00D1322B"/>
    <w:rsid w:val="00D1490B"/>
    <w:rsid w:val="00D17025"/>
    <w:rsid w:val="00D17444"/>
    <w:rsid w:val="00D17678"/>
    <w:rsid w:val="00D2094B"/>
    <w:rsid w:val="00D222C1"/>
    <w:rsid w:val="00D263C8"/>
    <w:rsid w:val="00D27D80"/>
    <w:rsid w:val="00D307B1"/>
    <w:rsid w:val="00D3392C"/>
    <w:rsid w:val="00D33FB5"/>
    <w:rsid w:val="00D35956"/>
    <w:rsid w:val="00D3726B"/>
    <w:rsid w:val="00D3727E"/>
    <w:rsid w:val="00D43EDD"/>
    <w:rsid w:val="00D43FF8"/>
    <w:rsid w:val="00D457E4"/>
    <w:rsid w:val="00D46804"/>
    <w:rsid w:val="00D46EBE"/>
    <w:rsid w:val="00D5467A"/>
    <w:rsid w:val="00D557FC"/>
    <w:rsid w:val="00D564EF"/>
    <w:rsid w:val="00D607B8"/>
    <w:rsid w:val="00D6083D"/>
    <w:rsid w:val="00D63C5E"/>
    <w:rsid w:val="00D643E4"/>
    <w:rsid w:val="00D6581E"/>
    <w:rsid w:val="00D67528"/>
    <w:rsid w:val="00D67BF4"/>
    <w:rsid w:val="00D74184"/>
    <w:rsid w:val="00D76E93"/>
    <w:rsid w:val="00D77326"/>
    <w:rsid w:val="00D80F12"/>
    <w:rsid w:val="00D818C6"/>
    <w:rsid w:val="00D83128"/>
    <w:rsid w:val="00D83420"/>
    <w:rsid w:val="00D83F75"/>
    <w:rsid w:val="00D85A38"/>
    <w:rsid w:val="00D85B13"/>
    <w:rsid w:val="00D86E38"/>
    <w:rsid w:val="00D9029B"/>
    <w:rsid w:val="00D911E6"/>
    <w:rsid w:val="00D9120F"/>
    <w:rsid w:val="00D920F2"/>
    <w:rsid w:val="00D92B2C"/>
    <w:rsid w:val="00D95BF4"/>
    <w:rsid w:val="00D97168"/>
    <w:rsid w:val="00DA1404"/>
    <w:rsid w:val="00DA6485"/>
    <w:rsid w:val="00DA69D6"/>
    <w:rsid w:val="00DA77CE"/>
    <w:rsid w:val="00DB14BF"/>
    <w:rsid w:val="00DB2E55"/>
    <w:rsid w:val="00DB3A98"/>
    <w:rsid w:val="00DB4330"/>
    <w:rsid w:val="00DB4ACC"/>
    <w:rsid w:val="00DB4EC0"/>
    <w:rsid w:val="00DB6CF5"/>
    <w:rsid w:val="00DC0364"/>
    <w:rsid w:val="00DC09A0"/>
    <w:rsid w:val="00DC0FDC"/>
    <w:rsid w:val="00DC1E48"/>
    <w:rsid w:val="00DC3345"/>
    <w:rsid w:val="00DC4168"/>
    <w:rsid w:val="00DD057A"/>
    <w:rsid w:val="00DD25D3"/>
    <w:rsid w:val="00DD2DA7"/>
    <w:rsid w:val="00DD3027"/>
    <w:rsid w:val="00DD3CFA"/>
    <w:rsid w:val="00DD6ACF"/>
    <w:rsid w:val="00DD7B3E"/>
    <w:rsid w:val="00DE24F5"/>
    <w:rsid w:val="00DE2996"/>
    <w:rsid w:val="00DF0F2A"/>
    <w:rsid w:val="00DF1099"/>
    <w:rsid w:val="00DF19A3"/>
    <w:rsid w:val="00DF70D8"/>
    <w:rsid w:val="00DF73EA"/>
    <w:rsid w:val="00E00250"/>
    <w:rsid w:val="00E00EB1"/>
    <w:rsid w:val="00E020E0"/>
    <w:rsid w:val="00E02481"/>
    <w:rsid w:val="00E02CBC"/>
    <w:rsid w:val="00E03970"/>
    <w:rsid w:val="00E05143"/>
    <w:rsid w:val="00E06BDE"/>
    <w:rsid w:val="00E07E2E"/>
    <w:rsid w:val="00E11DFD"/>
    <w:rsid w:val="00E125E1"/>
    <w:rsid w:val="00E1690A"/>
    <w:rsid w:val="00E2537A"/>
    <w:rsid w:val="00E26136"/>
    <w:rsid w:val="00E262F4"/>
    <w:rsid w:val="00E27A26"/>
    <w:rsid w:val="00E31365"/>
    <w:rsid w:val="00E31992"/>
    <w:rsid w:val="00E34052"/>
    <w:rsid w:val="00E34322"/>
    <w:rsid w:val="00E3459A"/>
    <w:rsid w:val="00E354CA"/>
    <w:rsid w:val="00E358D9"/>
    <w:rsid w:val="00E37742"/>
    <w:rsid w:val="00E37DF3"/>
    <w:rsid w:val="00E41ECB"/>
    <w:rsid w:val="00E53E40"/>
    <w:rsid w:val="00E5719F"/>
    <w:rsid w:val="00E616A5"/>
    <w:rsid w:val="00E645CA"/>
    <w:rsid w:val="00E64C26"/>
    <w:rsid w:val="00E650FF"/>
    <w:rsid w:val="00E666E7"/>
    <w:rsid w:val="00E7324F"/>
    <w:rsid w:val="00E744B3"/>
    <w:rsid w:val="00E77727"/>
    <w:rsid w:val="00E82265"/>
    <w:rsid w:val="00E82949"/>
    <w:rsid w:val="00E82B1C"/>
    <w:rsid w:val="00E842F0"/>
    <w:rsid w:val="00E8715E"/>
    <w:rsid w:val="00E908B0"/>
    <w:rsid w:val="00E91DE7"/>
    <w:rsid w:val="00E91E9C"/>
    <w:rsid w:val="00E91EA9"/>
    <w:rsid w:val="00E9224D"/>
    <w:rsid w:val="00E93516"/>
    <w:rsid w:val="00E93939"/>
    <w:rsid w:val="00E94570"/>
    <w:rsid w:val="00E962F7"/>
    <w:rsid w:val="00EA0549"/>
    <w:rsid w:val="00EA494E"/>
    <w:rsid w:val="00EA5DF6"/>
    <w:rsid w:val="00EA5F78"/>
    <w:rsid w:val="00EA6C3D"/>
    <w:rsid w:val="00EA7269"/>
    <w:rsid w:val="00EA7C8F"/>
    <w:rsid w:val="00EB12AB"/>
    <w:rsid w:val="00EB62A7"/>
    <w:rsid w:val="00EB7894"/>
    <w:rsid w:val="00EB7E92"/>
    <w:rsid w:val="00EC0702"/>
    <w:rsid w:val="00EC2D34"/>
    <w:rsid w:val="00EC36E1"/>
    <w:rsid w:val="00EC70E2"/>
    <w:rsid w:val="00EC7A3C"/>
    <w:rsid w:val="00ED01FA"/>
    <w:rsid w:val="00ED1338"/>
    <w:rsid w:val="00ED1658"/>
    <w:rsid w:val="00ED3B01"/>
    <w:rsid w:val="00ED48E3"/>
    <w:rsid w:val="00ED4FFD"/>
    <w:rsid w:val="00ED6896"/>
    <w:rsid w:val="00ED76E2"/>
    <w:rsid w:val="00EE48D5"/>
    <w:rsid w:val="00EE490C"/>
    <w:rsid w:val="00EE510C"/>
    <w:rsid w:val="00EE5EB9"/>
    <w:rsid w:val="00EE7618"/>
    <w:rsid w:val="00EF2FE3"/>
    <w:rsid w:val="00EF577C"/>
    <w:rsid w:val="00EF65F0"/>
    <w:rsid w:val="00F0419B"/>
    <w:rsid w:val="00F0567C"/>
    <w:rsid w:val="00F07D09"/>
    <w:rsid w:val="00F12DC6"/>
    <w:rsid w:val="00F130EB"/>
    <w:rsid w:val="00F13331"/>
    <w:rsid w:val="00F157BE"/>
    <w:rsid w:val="00F15DCC"/>
    <w:rsid w:val="00F20E3C"/>
    <w:rsid w:val="00F21614"/>
    <w:rsid w:val="00F2205B"/>
    <w:rsid w:val="00F22DBA"/>
    <w:rsid w:val="00F22F21"/>
    <w:rsid w:val="00F24F32"/>
    <w:rsid w:val="00F25D34"/>
    <w:rsid w:val="00F30924"/>
    <w:rsid w:val="00F3108B"/>
    <w:rsid w:val="00F3408A"/>
    <w:rsid w:val="00F3462B"/>
    <w:rsid w:val="00F34CD0"/>
    <w:rsid w:val="00F34F99"/>
    <w:rsid w:val="00F356B4"/>
    <w:rsid w:val="00F35804"/>
    <w:rsid w:val="00F37EE3"/>
    <w:rsid w:val="00F41BBE"/>
    <w:rsid w:val="00F44AC8"/>
    <w:rsid w:val="00F44D9D"/>
    <w:rsid w:val="00F45AB5"/>
    <w:rsid w:val="00F47426"/>
    <w:rsid w:val="00F50F52"/>
    <w:rsid w:val="00F531AA"/>
    <w:rsid w:val="00F55C8A"/>
    <w:rsid w:val="00F611F5"/>
    <w:rsid w:val="00F627EC"/>
    <w:rsid w:val="00F6380E"/>
    <w:rsid w:val="00F63D2C"/>
    <w:rsid w:val="00F65157"/>
    <w:rsid w:val="00F65248"/>
    <w:rsid w:val="00F70C90"/>
    <w:rsid w:val="00F766F2"/>
    <w:rsid w:val="00F769BB"/>
    <w:rsid w:val="00F82739"/>
    <w:rsid w:val="00F82A12"/>
    <w:rsid w:val="00F83942"/>
    <w:rsid w:val="00F84AA3"/>
    <w:rsid w:val="00F913C3"/>
    <w:rsid w:val="00F91BFD"/>
    <w:rsid w:val="00F925CA"/>
    <w:rsid w:val="00F92C8A"/>
    <w:rsid w:val="00F93B12"/>
    <w:rsid w:val="00F96BD4"/>
    <w:rsid w:val="00FA0D67"/>
    <w:rsid w:val="00FA1E0F"/>
    <w:rsid w:val="00FA234C"/>
    <w:rsid w:val="00FA2DEF"/>
    <w:rsid w:val="00FA5D30"/>
    <w:rsid w:val="00FB0E45"/>
    <w:rsid w:val="00FC00CB"/>
    <w:rsid w:val="00FC0A65"/>
    <w:rsid w:val="00FC2703"/>
    <w:rsid w:val="00FC3144"/>
    <w:rsid w:val="00FC3A58"/>
    <w:rsid w:val="00FC7085"/>
    <w:rsid w:val="00FD00C2"/>
    <w:rsid w:val="00FD1A01"/>
    <w:rsid w:val="00FD2710"/>
    <w:rsid w:val="00FD52F8"/>
    <w:rsid w:val="00FD66A2"/>
    <w:rsid w:val="00FE1C68"/>
    <w:rsid w:val="00FE233F"/>
    <w:rsid w:val="00FE312A"/>
    <w:rsid w:val="00FE6AA6"/>
    <w:rsid w:val="00FE73C8"/>
    <w:rsid w:val="00FF0577"/>
    <w:rsid w:val="00FF0654"/>
    <w:rsid w:val="00FF0A17"/>
    <w:rsid w:val="00FF2538"/>
    <w:rsid w:val="00FF2B3C"/>
    <w:rsid w:val="00FF7A8B"/>
    <w:rsid w:val="01921704"/>
    <w:rsid w:val="01F39622"/>
    <w:rsid w:val="020EF1B2"/>
    <w:rsid w:val="023C669D"/>
    <w:rsid w:val="023D6639"/>
    <w:rsid w:val="02612331"/>
    <w:rsid w:val="0367F270"/>
    <w:rsid w:val="03B89C60"/>
    <w:rsid w:val="03C12DEB"/>
    <w:rsid w:val="03F9A570"/>
    <w:rsid w:val="042468C7"/>
    <w:rsid w:val="04869FEC"/>
    <w:rsid w:val="049B5F4C"/>
    <w:rsid w:val="04F610F8"/>
    <w:rsid w:val="051A5EFC"/>
    <w:rsid w:val="059D1704"/>
    <w:rsid w:val="06413CA3"/>
    <w:rsid w:val="0681FE2D"/>
    <w:rsid w:val="06854051"/>
    <w:rsid w:val="0742593B"/>
    <w:rsid w:val="08CCA4CA"/>
    <w:rsid w:val="094D6CED"/>
    <w:rsid w:val="098D6AB0"/>
    <w:rsid w:val="0A9B2370"/>
    <w:rsid w:val="0B3E7733"/>
    <w:rsid w:val="0BABC18F"/>
    <w:rsid w:val="0BE793DC"/>
    <w:rsid w:val="0CC70405"/>
    <w:rsid w:val="0CEF1B39"/>
    <w:rsid w:val="0DDF0056"/>
    <w:rsid w:val="0E2C79C8"/>
    <w:rsid w:val="0E6C4542"/>
    <w:rsid w:val="0E6CD191"/>
    <w:rsid w:val="0EC263E9"/>
    <w:rsid w:val="10B11034"/>
    <w:rsid w:val="10BD843C"/>
    <w:rsid w:val="10D4573C"/>
    <w:rsid w:val="1148224B"/>
    <w:rsid w:val="1161DDF6"/>
    <w:rsid w:val="116650DF"/>
    <w:rsid w:val="12CB3593"/>
    <w:rsid w:val="13421B63"/>
    <w:rsid w:val="13689C07"/>
    <w:rsid w:val="13721EDB"/>
    <w:rsid w:val="140C3BE9"/>
    <w:rsid w:val="14224434"/>
    <w:rsid w:val="1425533C"/>
    <w:rsid w:val="144D8B22"/>
    <w:rsid w:val="146C4CFE"/>
    <w:rsid w:val="14B24435"/>
    <w:rsid w:val="14D63C62"/>
    <w:rsid w:val="15034937"/>
    <w:rsid w:val="15984093"/>
    <w:rsid w:val="15F5FE83"/>
    <w:rsid w:val="17510DCF"/>
    <w:rsid w:val="1863FEB5"/>
    <w:rsid w:val="18FE056E"/>
    <w:rsid w:val="19122685"/>
    <w:rsid w:val="1A21DC86"/>
    <w:rsid w:val="1A2D3BF7"/>
    <w:rsid w:val="1A61147E"/>
    <w:rsid w:val="1B3F29FB"/>
    <w:rsid w:val="1B470E53"/>
    <w:rsid w:val="1B617157"/>
    <w:rsid w:val="1BD18331"/>
    <w:rsid w:val="1C009AED"/>
    <w:rsid w:val="1C0916A8"/>
    <w:rsid w:val="1CA956E9"/>
    <w:rsid w:val="1DF5F576"/>
    <w:rsid w:val="1E9AA9D8"/>
    <w:rsid w:val="1FBBD9FE"/>
    <w:rsid w:val="1FCE576B"/>
    <w:rsid w:val="20031797"/>
    <w:rsid w:val="209F72C1"/>
    <w:rsid w:val="20BBCB7A"/>
    <w:rsid w:val="210F9D7D"/>
    <w:rsid w:val="21FB6F25"/>
    <w:rsid w:val="226A8956"/>
    <w:rsid w:val="22763268"/>
    <w:rsid w:val="22AC37C1"/>
    <w:rsid w:val="22F9D424"/>
    <w:rsid w:val="239186ED"/>
    <w:rsid w:val="24AAAE0A"/>
    <w:rsid w:val="24BD9700"/>
    <w:rsid w:val="2640B5F3"/>
    <w:rsid w:val="2643BF1A"/>
    <w:rsid w:val="264BE9E5"/>
    <w:rsid w:val="281508AF"/>
    <w:rsid w:val="28B9D77A"/>
    <w:rsid w:val="2966D41B"/>
    <w:rsid w:val="2A858C64"/>
    <w:rsid w:val="2ACC53D1"/>
    <w:rsid w:val="2B09642C"/>
    <w:rsid w:val="2BAB7E37"/>
    <w:rsid w:val="2CDCD9D9"/>
    <w:rsid w:val="2E18D2D7"/>
    <w:rsid w:val="2E90F311"/>
    <w:rsid w:val="2F6A9630"/>
    <w:rsid w:val="2FB78D79"/>
    <w:rsid w:val="2FD5939E"/>
    <w:rsid w:val="30FE0025"/>
    <w:rsid w:val="311FBF66"/>
    <w:rsid w:val="319FB1AD"/>
    <w:rsid w:val="31BB0132"/>
    <w:rsid w:val="32A7B952"/>
    <w:rsid w:val="32F51274"/>
    <w:rsid w:val="3353A758"/>
    <w:rsid w:val="343A122C"/>
    <w:rsid w:val="34412CFC"/>
    <w:rsid w:val="34EAA00D"/>
    <w:rsid w:val="35DCEF65"/>
    <w:rsid w:val="36EA5D92"/>
    <w:rsid w:val="3746DE2A"/>
    <w:rsid w:val="3798E1B9"/>
    <w:rsid w:val="38EE6F25"/>
    <w:rsid w:val="39691F38"/>
    <w:rsid w:val="3A476489"/>
    <w:rsid w:val="3A52935D"/>
    <w:rsid w:val="3B4574B8"/>
    <w:rsid w:val="3B4693AB"/>
    <w:rsid w:val="3B64662F"/>
    <w:rsid w:val="3B701CE6"/>
    <w:rsid w:val="3BED0C2C"/>
    <w:rsid w:val="3C1D3446"/>
    <w:rsid w:val="3C4CFCAD"/>
    <w:rsid w:val="3CD684FD"/>
    <w:rsid w:val="3D9BDFD3"/>
    <w:rsid w:val="3D9E4C26"/>
    <w:rsid w:val="3DAAC34F"/>
    <w:rsid w:val="3DFDC2BE"/>
    <w:rsid w:val="3E08FF8B"/>
    <w:rsid w:val="3E56B61F"/>
    <w:rsid w:val="3E9A98B8"/>
    <w:rsid w:val="3F32C2DB"/>
    <w:rsid w:val="3F838884"/>
    <w:rsid w:val="3FEACFAC"/>
    <w:rsid w:val="425829BB"/>
    <w:rsid w:val="42B735BF"/>
    <w:rsid w:val="4435E7DF"/>
    <w:rsid w:val="44D947A6"/>
    <w:rsid w:val="456C4963"/>
    <w:rsid w:val="45897214"/>
    <w:rsid w:val="45A8867A"/>
    <w:rsid w:val="45CD9751"/>
    <w:rsid w:val="465314F2"/>
    <w:rsid w:val="46F4D9C8"/>
    <w:rsid w:val="47FBF42E"/>
    <w:rsid w:val="4834D83F"/>
    <w:rsid w:val="490BCE0B"/>
    <w:rsid w:val="4A1EBA17"/>
    <w:rsid w:val="4A402934"/>
    <w:rsid w:val="4AB00600"/>
    <w:rsid w:val="4B87CC23"/>
    <w:rsid w:val="4B99CE6C"/>
    <w:rsid w:val="4BAEF372"/>
    <w:rsid w:val="4BAFC51D"/>
    <w:rsid w:val="4C27D09B"/>
    <w:rsid w:val="4DD7BDC2"/>
    <w:rsid w:val="4F0681E2"/>
    <w:rsid w:val="4F6F0CE1"/>
    <w:rsid w:val="4F77D96B"/>
    <w:rsid w:val="4F95C353"/>
    <w:rsid w:val="500988CE"/>
    <w:rsid w:val="505A8B75"/>
    <w:rsid w:val="50AFEA56"/>
    <w:rsid w:val="50FFCB61"/>
    <w:rsid w:val="512B3041"/>
    <w:rsid w:val="5177E522"/>
    <w:rsid w:val="53B5C423"/>
    <w:rsid w:val="54A92DB3"/>
    <w:rsid w:val="56B901E7"/>
    <w:rsid w:val="5781454A"/>
    <w:rsid w:val="5794D4DA"/>
    <w:rsid w:val="57FE49BE"/>
    <w:rsid w:val="5AE4A545"/>
    <w:rsid w:val="5DCE7F66"/>
    <w:rsid w:val="5F5899C6"/>
    <w:rsid w:val="603EDFD4"/>
    <w:rsid w:val="60A36344"/>
    <w:rsid w:val="610E5D5B"/>
    <w:rsid w:val="616F6D71"/>
    <w:rsid w:val="618F4ABC"/>
    <w:rsid w:val="61EFE14C"/>
    <w:rsid w:val="62548FAD"/>
    <w:rsid w:val="62B1CA45"/>
    <w:rsid w:val="62E22F0C"/>
    <w:rsid w:val="636E52BC"/>
    <w:rsid w:val="637A692D"/>
    <w:rsid w:val="65DAEE75"/>
    <w:rsid w:val="66C7BCA3"/>
    <w:rsid w:val="66EE407B"/>
    <w:rsid w:val="6783B148"/>
    <w:rsid w:val="67B15B3C"/>
    <w:rsid w:val="680DD908"/>
    <w:rsid w:val="6853B79A"/>
    <w:rsid w:val="686025BB"/>
    <w:rsid w:val="6928B0B5"/>
    <w:rsid w:val="69B9ED19"/>
    <w:rsid w:val="6A1A9802"/>
    <w:rsid w:val="6B1A83FE"/>
    <w:rsid w:val="6B7D9DED"/>
    <w:rsid w:val="6BBFD4C9"/>
    <w:rsid w:val="6C6A51B6"/>
    <w:rsid w:val="6CE43ED9"/>
    <w:rsid w:val="6D8767DF"/>
    <w:rsid w:val="6DE746C6"/>
    <w:rsid w:val="6F857B05"/>
    <w:rsid w:val="704F3979"/>
    <w:rsid w:val="70A04FC4"/>
    <w:rsid w:val="71760760"/>
    <w:rsid w:val="718BA8A1"/>
    <w:rsid w:val="72467DBC"/>
    <w:rsid w:val="73E64A7D"/>
    <w:rsid w:val="742DDC09"/>
    <w:rsid w:val="743E11BD"/>
    <w:rsid w:val="74632398"/>
    <w:rsid w:val="7472DF4D"/>
    <w:rsid w:val="747A8B7C"/>
    <w:rsid w:val="7502B227"/>
    <w:rsid w:val="750FE7A0"/>
    <w:rsid w:val="75C6E744"/>
    <w:rsid w:val="7626CFCE"/>
    <w:rsid w:val="7679C234"/>
    <w:rsid w:val="77384823"/>
    <w:rsid w:val="77572511"/>
    <w:rsid w:val="77B36E81"/>
    <w:rsid w:val="77C2D837"/>
    <w:rsid w:val="78313492"/>
    <w:rsid w:val="7901846B"/>
    <w:rsid w:val="794D9F50"/>
    <w:rsid w:val="798F7DCD"/>
    <w:rsid w:val="799B2813"/>
    <w:rsid w:val="7A367794"/>
    <w:rsid w:val="7A88D290"/>
    <w:rsid w:val="7ADC8EC3"/>
    <w:rsid w:val="7B7924C3"/>
    <w:rsid w:val="7BC5834B"/>
    <w:rsid w:val="7BC7F389"/>
    <w:rsid w:val="7BE54ADA"/>
    <w:rsid w:val="7CD5B854"/>
    <w:rsid w:val="7D417DD7"/>
    <w:rsid w:val="7D58E41C"/>
    <w:rsid w:val="7D99E5A1"/>
    <w:rsid w:val="7E426A4B"/>
    <w:rsid w:val="7E8CE529"/>
    <w:rsid w:val="7F95258A"/>
    <w:rsid w:val="7FB5B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BA681"/>
  <w15:docId w15:val="{13AC4AF9-1616-484C-AC86-37843C0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83"/>
    <w:pPr>
      <w:spacing w:line="240" w:lineRule="atLeast"/>
    </w:pPr>
    <w:rPr>
      <w:rFonts w:eastAsiaTheme="minorHAnsi" w:cstheme="minorBidi"/>
      <w:lang w:val="en-GB"/>
    </w:rPr>
  </w:style>
  <w:style w:type="paragraph" w:styleId="Heading1">
    <w:name w:val="heading 1"/>
    <w:aliases w:val="Table_G"/>
    <w:basedOn w:val="SingleTxtG"/>
    <w:next w:val="SingleTxtG"/>
    <w:link w:val="Heading1Char"/>
    <w:qFormat/>
    <w:rsid w:val="00A04047"/>
    <w:pPr>
      <w:keepNext/>
      <w:keepLines/>
      <w:spacing w:after="0"/>
      <w:ind w:right="0"/>
      <w:jc w:val="left"/>
      <w:outlineLvl w:val="0"/>
    </w:pPr>
  </w:style>
  <w:style w:type="paragraph" w:styleId="Heading2">
    <w:name w:val="heading 2"/>
    <w:basedOn w:val="Normal"/>
    <w:next w:val="Normal"/>
    <w:link w:val="Heading2Char"/>
    <w:semiHidden/>
    <w:qFormat/>
    <w:rsid w:val="00A04047"/>
    <w:pPr>
      <w:outlineLvl w:val="1"/>
    </w:pPr>
  </w:style>
  <w:style w:type="paragraph" w:styleId="Heading3">
    <w:name w:val="heading 3"/>
    <w:basedOn w:val="Normal"/>
    <w:next w:val="Normal"/>
    <w:link w:val="Heading3Char"/>
    <w:semiHidden/>
    <w:qFormat/>
    <w:rsid w:val="00A04047"/>
    <w:pPr>
      <w:outlineLvl w:val="2"/>
    </w:pPr>
  </w:style>
  <w:style w:type="paragraph" w:styleId="Heading4">
    <w:name w:val="heading 4"/>
    <w:basedOn w:val="Normal"/>
    <w:next w:val="Normal"/>
    <w:link w:val="Heading4Char"/>
    <w:semiHidden/>
    <w:qFormat/>
    <w:rsid w:val="00A04047"/>
    <w:pPr>
      <w:outlineLvl w:val="3"/>
    </w:pPr>
  </w:style>
  <w:style w:type="paragraph" w:styleId="Heading5">
    <w:name w:val="heading 5"/>
    <w:basedOn w:val="Normal"/>
    <w:next w:val="Normal"/>
    <w:link w:val="Heading5Char"/>
    <w:semiHidden/>
    <w:qFormat/>
    <w:rsid w:val="00A04047"/>
    <w:pPr>
      <w:outlineLvl w:val="4"/>
    </w:pPr>
  </w:style>
  <w:style w:type="paragraph" w:styleId="Heading6">
    <w:name w:val="heading 6"/>
    <w:basedOn w:val="Normal"/>
    <w:next w:val="Normal"/>
    <w:link w:val="Heading6Char"/>
    <w:semiHidden/>
    <w:qFormat/>
    <w:rsid w:val="00A04047"/>
    <w:pPr>
      <w:outlineLvl w:val="5"/>
    </w:pPr>
  </w:style>
  <w:style w:type="paragraph" w:styleId="Heading7">
    <w:name w:val="heading 7"/>
    <w:basedOn w:val="Normal"/>
    <w:next w:val="Normal"/>
    <w:link w:val="Heading7Char"/>
    <w:semiHidden/>
    <w:qFormat/>
    <w:rsid w:val="00A04047"/>
    <w:pPr>
      <w:outlineLvl w:val="6"/>
    </w:pPr>
  </w:style>
  <w:style w:type="paragraph" w:styleId="Heading8">
    <w:name w:val="heading 8"/>
    <w:basedOn w:val="Normal"/>
    <w:next w:val="Normal"/>
    <w:link w:val="Heading8Char"/>
    <w:semiHidden/>
    <w:qFormat/>
    <w:rsid w:val="00A04047"/>
    <w:pPr>
      <w:outlineLvl w:val="7"/>
    </w:pPr>
  </w:style>
  <w:style w:type="paragraph" w:styleId="Heading9">
    <w:name w:val="heading 9"/>
    <w:basedOn w:val="Normal"/>
    <w:next w:val="Normal"/>
    <w:link w:val="Heading9Char"/>
    <w:semiHidden/>
    <w:qFormat/>
    <w:rsid w:val="00A040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A04047"/>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A04047"/>
    <w:pPr>
      <w:keepNext/>
      <w:keepLines/>
      <w:tabs>
        <w:tab w:val="right" w:pos="851"/>
      </w:tabs>
      <w:spacing w:before="360" w:after="240" w:line="300" w:lineRule="exact"/>
      <w:ind w:left="1134" w:right="1134" w:hanging="1134"/>
      <w:outlineLvl w:val="1"/>
    </w:pPr>
    <w:rPr>
      <w:b/>
      <w:sz w:val="28"/>
    </w:rPr>
  </w:style>
  <w:style w:type="paragraph" w:customStyle="1" w:styleId="SingleTxtG">
    <w:name w:val="_ Single Txt_G"/>
    <w:basedOn w:val="Normal"/>
    <w:qFormat/>
    <w:rsid w:val="00A04047"/>
    <w:pPr>
      <w:tabs>
        <w:tab w:val="left" w:pos="1701"/>
        <w:tab w:val="left" w:pos="2268"/>
        <w:tab w:val="left" w:pos="2835"/>
      </w:tabs>
      <w:spacing w:after="120"/>
      <w:ind w:left="1134" w:right="1134"/>
      <w:jc w:val="both"/>
    </w:pPr>
  </w:style>
  <w:style w:type="character" w:styleId="EndnoteReference">
    <w:name w:val="endnote reference"/>
    <w:aliases w:val="1_G"/>
    <w:basedOn w:val="FootnoteReference"/>
    <w:qFormat/>
    <w:rsid w:val="00A04047"/>
    <w:rPr>
      <w:rFonts w:ascii="Times New Roman" w:hAnsi="Times New Roman"/>
      <w:sz w:val="18"/>
      <w:vertAlign w:val="superscript"/>
      <w:lang w:val="fr-CH"/>
    </w:rPr>
  </w:style>
  <w:style w:type="character" w:styleId="FootnoteReference">
    <w:name w:val="footnote reference"/>
    <w:aliases w:val="4_G,ftref,fr,Footnote Ref in FtNote,SUPERS,16 Point,Superscript 6 Point,DDG,Footnote Reference Number,BVI fnr,nota pié di pagina, BVI fnr,Odwołanie przypisu,Footnote symbol,Footnote Reference_LVL6...,Footnote Reference_LVL6,Ref"/>
    <w:basedOn w:val="DefaultParagraphFont"/>
    <w:uiPriority w:val="99"/>
    <w:qFormat/>
    <w:rsid w:val="00A04047"/>
    <w:rPr>
      <w:rFonts w:ascii="Times New Roman" w:hAnsi="Times New Roman"/>
      <w:sz w:val="18"/>
      <w:vertAlign w:val="superscript"/>
      <w:lang w:val="fr-CH"/>
    </w:rPr>
  </w:style>
  <w:style w:type="paragraph" w:styleId="EndnoteText">
    <w:name w:val="endnote text"/>
    <w:aliases w:val="2_G"/>
    <w:basedOn w:val="FootnoteText"/>
    <w:link w:val="EndnoteTextChar"/>
    <w:qFormat/>
    <w:rsid w:val="00A04047"/>
  </w:style>
  <w:style w:type="paragraph" w:styleId="FootnoteText">
    <w:name w:val="footnote text"/>
    <w:aliases w:val="5_G, Car,Footnote Char Char,ft,single space,ft Char Char Char,ft Char Char,Nbpage Moens,Footnote Text Char1 Char,Footnote Text Char Char Char,Footnote Text Char Char Char Char Char Char Char Char Char Char,Fußnotentextf,DDG x"/>
    <w:basedOn w:val="Normal"/>
    <w:link w:val="FootnoteTextChar"/>
    <w:uiPriority w:val="99"/>
    <w:qFormat/>
    <w:rsid w:val="00A04047"/>
    <w:pPr>
      <w:tabs>
        <w:tab w:val="right" w:pos="1021"/>
      </w:tabs>
      <w:spacing w:line="220" w:lineRule="exact"/>
      <w:ind w:left="1134" w:right="1134" w:hanging="1134"/>
    </w:pPr>
    <w:rPr>
      <w:sz w:val="18"/>
    </w:rPr>
  </w:style>
  <w:style w:type="paragraph" w:styleId="Footer">
    <w:name w:val="footer"/>
    <w:aliases w:val="3_G"/>
    <w:basedOn w:val="Normal"/>
    <w:next w:val="Normal"/>
    <w:link w:val="FooterChar"/>
    <w:qFormat/>
    <w:rsid w:val="00A04047"/>
    <w:rPr>
      <w:sz w:val="16"/>
    </w:rPr>
  </w:style>
  <w:style w:type="paragraph" w:customStyle="1" w:styleId="SMG">
    <w:name w:val="__S_M_G"/>
    <w:basedOn w:val="Normal"/>
    <w:next w:val="Normal"/>
    <w:rsid w:val="00A04047"/>
    <w:pPr>
      <w:keepNext/>
      <w:keepLines/>
      <w:spacing w:before="240" w:after="240" w:line="420" w:lineRule="exact"/>
      <w:ind w:left="1134" w:right="1134"/>
    </w:pPr>
    <w:rPr>
      <w:b/>
      <w:sz w:val="40"/>
    </w:rPr>
  </w:style>
  <w:style w:type="paragraph" w:customStyle="1" w:styleId="SLG">
    <w:name w:val="__S_L_G"/>
    <w:basedOn w:val="Normal"/>
    <w:next w:val="Normal"/>
    <w:rsid w:val="00A04047"/>
    <w:pPr>
      <w:keepNext/>
      <w:keepLines/>
      <w:spacing w:before="240" w:after="240" w:line="580" w:lineRule="exact"/>
      <w:ind w:left="1134" w:right="1134"/>
    </w:pPr>
    <w:rPr>
      <w:b/>
      <w:sz w:val="56"/>
    </w:rPr>
  </w:style>
  <w:style w:type="paragraph" w:customStyle="1" w:styleId="SSG">
    <w:name w:val="__S_S_G"/>
    <w:basedOn w:val="Normal"/>
    <w:next w:val="Normal"/>
    <w:rsid w:val="00A04047"/>
    <w:pPr>
      <w:keepNext/>
      <w:keepLines/>
      <w:spacing w:before="240" w:after="240" w:line="300" w:lineRule="exact"/>
      <w:ind w:left="1134" w:right="1134"/>
    </w:pPr>
    <w:rPr>
      <w:b/>
      <w:sz w:val="28"/>
    </w:rPr>
  </w:style>
  <w:style w:type="paragraph" w:styleId="Header">
    <w:name w:val="header"/>
    <w:aliases w:val="6_G"/>
    <w:basedOn w:val="Normal"/>
    <w:link w:val="HeaderChar"/>
    <w:rsid w:val="00A04047"/>
    <w:pPr>
      <w:pBdr>
        <w:bottom w:val="single" w:sz="4" w:space="4" w:color="auto"/>
      </w:pBdr>
    </w:pPr>
    <w:rPr>
      <w:rFonts w:eastAsia="Times New Roman"/>
      <w:b/>
      <w:sz w:val="18"/>
    </w:rPr>
  </w:style>
  <w:style w:type="character" w:styleId="PageNumber">
    <w:name w:val="page number"/>
    <w:aliases w:val="7_G"/>
    <w:basedOn w:val="DefaultParagraphFont"/>
    <w:qFormat/>
    <w:rsid w:val="00A04047"/>
    <w:rPr>
      <w:rFonts w:ascii="Times New Roman" w:hAnsi="Times New Roman"/>
      <w:b/>
      <w:sz w:val="18"/>
      <w:lang w:val="fr-CH"/>
    </w:rPr>
  </w:style>
  <w:style w:type="paragraph" w:styleId="BalloonText">
    <w:name w:val="Balloon Text"/>
    <w:basedOn w:val="Normal"/>
    <w:link w:val="BalloonTextChar"/>
    <w:semiHidden/>
    <w:rsid w:val="00397B1B"/>
    <w:rPr>
      <w:rFonts w:ascii="Tahoma" w:hAnsi="Tahoma" w:cs="Tahoma"/>
      <w:sz w:val="16"/>
      <w:szCs w:val="16"/>
    </w:rPr>
  </w:style>
  <w:style w:type="paragraph" w:customStyle="1" w:styleId="XLargeG">
    <w:name w:val="__XLarge_G"/>
    <w:basedOn w:val="Normal"/>
    <w:next w:val="Normal"/>
    <w:rsid w:val="00A04047"/>
    <w:pPr>
      <w:keepNext/>
      <w:keepLines/>
      <w:spacing w:before="240" w:after="240" w:line="420" w:lineRule="exact"/>
      <w:ind w:left="1134" w:right="1134"/>
    </w:pPr>
    <w:rPr>
      <w:b/>
      <w:sz w:val="40"/>
    </w:rPr>
  </w:style>
  <w:style w:type="paragraph" w:customStyle="1" w:styleId="Bullet1G">
    <w:name w:val="_Bullet 1_G"/>
    <w:basedOn w:val="Normal"/>
    <w:qFormat/>
    <w:rsid w:val="00A04047"/>
    <w:pPr>
      <w:numPr>
        <w:numId w:val="12"/>
      </w:numPr>
      <w:spacing w:after="120"/>
      <w:ind w:right="1134"/>
      <w:jc w:val="both"/>
    </w:pPr>
  </w:style>
  <w:style w:type="table" w:styleId="TableGrid">
    <w:name w:val="Table Grid"/>
    <w:basedOn w:val="TableNormal"/>
    <w:rsid w:val="00A04047"/>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loonTextChar">
    <w:name w:val="Balloon Text Char"/>
    <w:basedOn w:val="DefaultParagraphFont"/>
    <w:link w:val="BalloonText"/>
    <w:semiHidden/>
    <w:rsid w:val="00420023"/>
    <w:rPr>
      <w:rFonts w:ascii="Tahoma" w:hAnsi="Tahoma" w:cs="Tahoma"/>
      <w:sz w:val="16"/>
      <w:szCs w:val="16"/>
      <w:lang w:val="en-GB"/>
    </w:rPr>
  </w:style>
  <w:style w:type="character" w:customStyle="1" w:styleId="FootnoteTextChar">
    <w:name w:val="Footnote Text Char"/>
    <w:aliases w:val="5_G Char, Car Char,Footnote Char Char Char,ft Char,single space Char,ft Char Char Char Char,ft Char Char Char1,Nbpage Moens Char,Footnote Text Char1 Char Char,Footnote Text Char Char Char Char,Fußnotentextf Char,DDG x Char"/>
    <w:basedOn w:val="DefaultParagraphFont"/>
    <w:link w:val="FootnoteText"/>
    <w:uiPriority w:val="99"/>
    <w:rsid w:val="00A04047"/>
    <w:rPr>
      <w:rFonts w:eastAsiaTheme="minorHAnsi" w:cstheme="minorBidi"/>
      <w:sz w:val="18"/>
      <w:lang w:val="en-GB"/>
    </w:rPr>
  </w:style>
  <w:style w:type="paragraph" w:customStyle="1" w:styleId="Bullet2G">
    <w:name w:val="_Bullet 2_G"/>
    <w:basedOn w:val="Normal"/>
    <w:qFormat/>
    <w:rsid w:val="00A04047"/>
    <w:pPr>
      <w:numPr>
        <w:numId w:val="13"/>
      </w:numPr>
      <w:spacing w:after="120"/>
      <w:ind w:right="1134"/>
      <w:jc w:val="both"/>
    </w:pPr>
  </w:style>
  <w:style w:type="paragraph" w:customStyle="1" w:styleId="H1G">
    <w:name w:val="_ H_1_G"/>
    <w:basedOn w:val="Normal"/>
    <w:next w:val="Normal"/>
    <w:qFormat/>
    <w:rsid w:val="00A04047"/>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A04047"/>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A04047"/>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A04047"/>
    <w:pPr>
      <w:keepNext/>
      <w:keepLines/>
      <w:tabs>
        <w:tab w:val="right" w:pos="851"/>
      </w:tabs>
      <w:spacing w:before="240" w:after="120" w:line="240" w:lineRule="exact"/>
      <w:ind w:left="1134" w:right="1134" w:hanging="1134"/>
      <w:outlineLvl w:val="5"/>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styleId="Emphasis">
    <w:name w:val="Emphasis"/>
    <w:basedOn w:val="DefaultParagraphFont"/>
    <w:semiHidden/>
    <w:qFormat/>
    <w:rPr>
      <w:i/>
      <w:iCs/>
    </w:rPr>
  </w:style>
  <w:style w:type="paragraph" w:styleId="EnvelopeReturn">
    <w:name w:val="envelope return"/>
    <w:basedOn w:val="Normal"/>
    <w:semiHidden/>
    <w:rPr>
      <w:rFonts w:ascii="Arial" w:hAnsi="Arial" w:cs="Arial"/>
    </w:rPr>
  </w:style>
  <w:style w:type="character" w:styleId="HTMLAcronym">
    <w:name w:val="HTML Acronym"/>
    <w:basedOn w:val="DefaultParagraphFont"/>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customStyle="1" w:styleId="ParNoG">
    <w:name w:val="_ParNo_G"/>
    <w:basedOn w:val="Normal"/>
    <w:qFormat/>
    <w:rsid w:val="00A04047"/>
    <w:pPr>
      <w:numPr>
        <w:numId w:val="14"/>
      </w:numPr>
      <w:tabs>
        <w:tab w:val="clear" w:pos="1984"/>
        <w:tab w:val="left" w:pos="1701"/>
        <w:tab w:val="left" w:pos="2268"/>
        <w:tab w:val="left" w:pos="2835"/>
      </w:tabs>
      <w:spacing w:after="120"/>
      <w:ind w:left="1134" w:right="1134"/>
      <w:jc w:val="both"/>
    </w:pPr>
  </w:style>
  <w:style w:type="character" w:customStyle="1" w:styleId="EndnoteTextChar">
    <w:name w:val="Endnote Text Char"/>
    <w:aliases w:val="2_G Char"/>
    <w:basedOn w:val="DefaultParagraphFont"/>
    <w:link w:val="EndnoteText"/>
    <w:rsid w:val="00A04047"/>
    <w:rPr>
      <w:rFonts w:eastAsiaTheme="minorHAnsi" w:cstheme="minorBidi"/>
      <w:sz w:val="18"/>
      <w:lang w:val="en-GB"/>
    </w:rPr>
  </w:style>
  <w:style w:type="character" w:styleId="FollowedHyperlink">
    <w:name w:val="FollowedHyperlink"/>
    <w:basedOn w:val="DefaultParagraphFont"/>
    <w:unhideWhenUsed/>
    <w:rsid w:val="00A04047"/>
    <w:rPr>
      <w:color w:val="0000FF"/>
      <w:u w:val="none"/>
    </w:rPr>
  </w:style>
  <w:style w:type="character" w:customStyle="1" w:styleId="FooterChar">
    <w:name w:val="Footer Char"/>
    <w:aliases w:val="3_G Char"/>
    <w:basedOn w:val="DefaultParagraphFont"/>
    <w:link w:val="Footer"/>
    <w:rsid w:val="00A04047"/>
    <w:rPr>
      <w:rFonts w:eastAsiaTheme="minorHAnsi" w:cstheme="minorBidi"/>
      <w:sz w:val="16"/>
      <w:lang w:val="en-GB"/>
    </w:rPr>
  </w:style>
  <w:style w:type="character" w:customStyle="1" w:styleId="HeaderChar">
    <w:name w:val="Header Char"/>
    <w:aliases w:val="6_G Char"/>
    <w:basedOn w:val="DefaultParagraphFont"/>
    <w:link w:val="Header"/>
    <w:rsid w:val="00A04047"/>
    <w:rPr>
      <w:rFonts w:cstheme="minorBidi"/>
      <w:b/>
      <w:sz w:val="18"/>
      <w:lang w:val="en-GB"/>
    </w:rPr>
  </w:style>
  <w:style w:type="character" w:customStyle="1" w:styleId="Heading1Char">
    <w:name w:val="Heading 1 Char"/>
    <w:aliases w:val="Table_G Char"/>
    <w:basedOn w:val="DefaultParagraphFont"/>
    <w:link w:val="Heading1"/>
    <w:rsid w:val="00A04047"/>
    <w:rPr>
      <w:rFonts w:eastAsiaTheme="minorHAnsi" w:cstheme="minorBidi"/>
      <w:lang w:val="en-GB"/>
    </w:rPr>
  </w:style>
  <w:style w:type="character" w:customStyle="1" w:styleId="Heading2Char">
    <w:name w:val="Heading 2 Char"/>
    <w:basedOn w:val="DefaultParagraphFont"/>
    <w:link w:val="Heading2"/>
    <w:semiHidden/>
    <w:rsid w:val="00A04047"/>
    <w:rPr>
      <w:rFonts w:eastAsiaTheme="minorHAnsi" w:cstheme="minorBidi"/>
      <w:lang w:val="en-GB"/>
    </w:rPr>
  </w:style>
  <w:style w:type="character" w:customStyle="1" w:styleId="Heading3Char">
    <w:name w:val="Heading 3 Char"/>
    <w:basedOn w:val="DefaultParagraphFont"/>
    <w:link w:val="Heading3"/>
    <w:semiHidden/>
    <w:rsid w:val="00A04047"/>
    <w:rPr>
      <w:rFonts w:eastAsiaTheme="minorHAnsi" w:cstheme="minorBidi"/>
      <w:lang w:val="en-GB"/>
    </w:rPr>
  </w:style>
  <w:style w:type="character" w:customStyle="1" w:styleId="Heading4Char">
    <w:name w:val="Heading 4 Char"/>
    <w:basedOn w:val="DefaultParagraphFont"/>
    <w:link w:val="Heading4"/>
    <w:semiHidden/>
    <w:rsid w:val="00A04047"/>
    <w:rPr>
      <w:rFonts w:eastAsiaTheme="minorHAnsi" w:cstheme="minorBidi"/>
      <w:lang w:val="en-GB"/>
    </w:rPr>
  </w:style>
  <w:style w:type="character" w:customStyle="1" w:styleId="Heading5Char">
    <w:name w:val="Heading 5 Char"/>
    <w:basedOn w:val="DefaultParagraphFont"/>
    <w:link w:val="Heading5"/>
    <w:semiHidden/>
    <w:rsid w:val="00A04047"/>
    <w:rPr>
      <w:rFonts w:eastAsiaTheme="minorHAnsi" w:cstheme="minorBidi"/>
      <w:lang w:val="en-GB"/>
    </w:rPr>
  </w:style>
  <w:style w:type="character" w:customStyle="1" w:styleId="Heading6Char">
    <w:name w:val="Heading 6 Char"/>
    <w:basedOn w:val="DefaultParagraphFont"/>
    <w:link w:val="Heading6"/>
    <w:semiHidden/>
    <w:rsid w:val="00A04047"/>
    <w:rPr>
      <w:rFonts w:eastAsiaTheme="minorHAnsi" w:cstheme="minorBidi"/>
      <w:lang w:val="en-GB"/>
    </w:rPr>
  </w:style>
  <w:style w:type="character" w:customStyle="1" w:styleId="Heading7Char">
    <w:name w:val="Heading 7 Char"/>
    <w:basedOn w:val="DefaultParagraphFont"/>
    <w:link w:val="Heading7"/>
    <w:semiHidden/>
    <w:rsid w:val="00A04047"/>
    <w:rPr>
      <w:rFonts w:eastAsiaTheme="minorHAnsi" w:cstheme="minorBidi"/>
      <w:lang w:val="en-GB"/>
    </w:rPr>
  </w:style>
  <w:style w:type="character" w:customStyle="1" w:styleId="Heading8Char">
    <w:name w:val="Heading 8 Char"/>
    <w:basedOn w:val="DefaultParagraphFont"/>
    <w:link w:val="Heading8"/>
    <w:semiHidden/>
    <w:rsid w:val="00A04047"/>
    <w:rPr>
      <w:rFonts w:eastAsiaTheme="minorHAnsi" w:cstheme="minorBidi"/>
      <w:lang w:val="en-GB"/>
    </w:rPr>
  </w:style>
  <w:style w:type="character" w:customStyle="1" w:styleId="Heading9Char">
    <w:name w:val="Heading 9 Char"/>
    <w:basedOn w:val="DefaultParagraphFont"/>
    <w:link w:val="Heading9"/>
    <w:semiHidden/>
    <w:rsid w:val="00A04047"/>
    <w:rPr>
      <w:rFonts w:eastAsiaTheme="minorHAnsi" w:cstheme="minorBidi"/>
      <w:lang w:val="en-GB"/>
    </w:rPr>
  </w:style>
  <w:style w:type="character" w:styleId="Hyperlink">
    <w:name w:val="Hyperlink"/>
    <w:basedOn w:val="DefaultParagraphFont"/>
    <w:unhideWhenUsed/>
    <w:rsid w:val="00A04047"/>
    <w:rPr>
      <w:color w:val="0000FF"/>
      <w:u w:val="none"/>
    </w:rPr>
  </w:style>
  <w:style w:type="table" w:customStyle="1" w:styleId="TableGrid1">
    <w:name w:val="Table Grid1"/>
    <w:basedOn w:val="TableNormal"/>
    <w:next w:val="TableGrid"/>
    <w:uiPriority w:val="39"/>
    <w:rsid w:val="00775674"/>
    <w:pPr>
      <w:suppressAutoHyphens/>
      <w:spacing w:line="240" w:lineRule="atLeast"/>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F20E3C"/>
    <w:rPr>
      <w:color w:val="605E5C"/>
      <w:shd w:val="clear" w:color="auto" w:fill="E1DFDD"/>
    </w:rPr>
  </w:style>
  <w:style w:type="paragraph" w:styleId="Revision">
    <w:name w:val="Revision"/>
    <w:hidden/>
    <w:uiPriority w:val="99"/>
    <w:semiHidden/>
    <w:rsid w:val="00200D71"/>
    <w:rPr>
      <w:rFonts w:eastAsiaTheme="minorHAnsi" w:cstheme="minorBidi"/>
      <w:lang w:val="en-GB"/>
    </w:rPr>
  </w:style>
  <w:style w:type="paragraph" w:styleId="ListParagraph">
    <w:name w:val="List Paragraph"/>
    <w:basedOn w:val="Normal"/>
    <w:uiPriority w:val="34"/>
    <w:rsid w:val="003E3020"/>
    <w:pPr>
      <w:ind w:left="720"/>
      <w:contextualSpacing/>
    </w:pPr>
  </w:style>
  <w:style w:type="paragraph" w:styleId="NormalWeb">
    <w:name w:val="Normal (Web)"/>
    <w:basedOn w:val="Normal"/>
    <w:semiHidden/>
    <w:unhideWhenUsed/>
    <w:rsid w:val="009C26B1"/>
    <w:rPr>
      <w:rFonts w:cs="Times New Roman"/>
      <w:sz w:val="24"/>
      <w:szCs w:val="24"/>
    </w:rPr>
  </w:style>
  <w:style w:type="character" w:styleId="CommentReference">
    <w:name w:val="annotation reference"/>
    <w:basedOn w:val="DefaultParagraphFont"/>
    <w:semiHidden/>
    <w:unhideWhenUsed/>
    <w:rsid w:val="00343208"/>
    <w:rPr>
      <w:sz w:val="16"/>
      <w:szCs w:val="16"/>
    </w:rPr>
  </w:style>
  <w:style w:type="paragraph" w:styleId="CommentText">
    <w:name w:val="annotation text"/>
    <w:basedOn w:val="Normal"/>
    <w:link w:val="CommentTextChar"/>
    <w:unhideWhenUsed/>
    <w:rsid w:val="00343208"/>
    <w:pPr>
      <w:spacing w:line="240" w:lineRule="auto"/>
    </w:pPr>
  </w:style>
  <w:style w:type="character" w:customStyle="1" w:styleId="CommentTextChar">
    <w:name w:val="Comment Text Char"/>
    <w:basedOn w:val="DefaultParagraphFont"/>
    <w:link w:val="CommentText"/>
    <w:rsid w:val="00343208"/>
    <w:rPr>
      <w:rFonts w:eastAsiaTheme="minorHAnsi" w:cstheme="minorBidi"/>
      <w:lang w:val="en-GB"/>
    </w:rPr>
  </w:style>
  <w:style w:type="paragraph" w:styleId="CommentSubject">
    <w:name w:val="annotation subject"/>
    <w:basedOn w:val="CommentText"/>
    <w:next w:val="CommentText"/>
    <w:link w:val="CommentSubjectChar"/>
    <w:semiHidden/>
    <w:unhideWhenUsed/>
    <w:rsid w:val="00343208"/>
    <w:rPr>
      <w:b/>
      <w:bCs/>
    </w:rPr>
  </w:style>
  <w:style w:type="character" w:customStyle="1" w:styleId="CommentSubjectChar">
    <w:name w:val="Comment Subject Char"/>
    <w:basedOn w:val="CommentTextChar"/>
    <w:link w:val="CommentSubject"/>
    <w:semiHidden/>
    <w:rsid w:val="00343208"/>
    <w:rPr>
      <w:rFonts w:eastAsia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5813">
      <w:bodyDiv w:val="1"/>
      <w:marLeft w:val="0"/>
      <w:marRight w:val="0"/>
      <w:marTop w:val="0"/>
      <w:marBottom w:val="0"/>
      <w:divBdr>
        <w:top w:val="none" w:sz="0" w:space="0" w:color="auto"/>
        <w:left w:val="none" w:sz="0" w:space="0" w:color="auto"/>
        <w:bottom w:val="none" w:sz="0" w:space="0" w:color="auto"/>
        <w:right w:val="none" w:sz="0" w:space="0" w:color="auto"/>
      </w:divBdr>
    </w:div>
    <w:div w:id="561645644">
      <w:bodyDiv w:val="1"/>
      <w:marLeft w:val="0"/>
      <w:marRight w:val="0"/>
      <w:marTop w:val="0"/>
      <w:marBottom w:val="0"/>
      <w:divBdr>
        <w:top w:val="none" w:sz="0" w:space="0" w:color="auto"/>
        <w:left w:val="none" w:sz="0" w:space="0" w:color="auto"/>
        <w:bottom w:val="none" w:sz="0" w:space="0" w:color="auto"/>
        <w:right w:val="none" w:sz="0" w:space="0" w:color="auto"/>
      </w:divBdr>
    </w:div>
    <w:div w:id="866405246">
      <w:bodyDiv w:val="1"/>
      <w:marLeft w:val="0"/>
      <w:marRight w:val="0"/>
      <w:marTop w:val="0"/>
      <w:marBottom w:val="0"/>
      <w:divBdr>
        <w:top w:val="none" w:sz="0" w:space="0" w:color="auto"/>
        <w:left w:val="none" w:sz="0" w:space="0" w:color="auto"/>
        <w:bottom w:val="none" w:sz="0" w:space="0" w:color="auto"/>
        <w:right w:val="none" w:sz="0" w:space="0" w:color="auto"/>
      </w:divBdr>
    </w:div>
    <w:div w:id="965548156">
      <w:bodyDiv w:val="1"/>
      <w:marLeft w:val="0"/>
      <w:marRight w:val="0"/>
      <w:marTop w:val="0"/>
      <w:marBottom w:val="0"/>
      <w:divBdr>
        <w:top w:val="none" w:sz="0" w:space="0" w:color="auto"/>
        <w:left w:val="none" w:sz="0" w:space="0" w:color="auto"/>
        <w:bottom w:val="none" w:sz="0" w:space="0" w:color="auto"/>
        <w:right w:val="none" w:sz="0" w:space="0" w:color="auto"/>
      </w:divBdr>
    </w:div>
    <w:div w:id="10482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u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uments.un.org/doc/undoc/gen/n23/391/58/pdf/n2339158.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un.org/doc/undoc/gen/n23/391/58/pdf/n2339158.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doc/Publication/CN/2024/CN.347.2024-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ttia\United%20Nations\UNOG_DCM-Macros%20-%20ODA\UN-Docs2021\Templates\CCM\CCM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6cdb7f-b9e5-45b9-b900-94976c4756b1" xsi:nil="true"/>
    <lcf76f155ced4ddcb4097134ff3c332f xmlns="d16efeb1-ec85-482e-8eea-89579e0e41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78D5E9A219824387A4326EA6A5F87F" ma:contentTypeVersion="13" ma:contentTypeDescription="Create a new document." ma:contentTypeScope="" ma:versionID="caeb3932c5d3012e974089029fba99e5">
  <xsd:schema xmlns:xsd="http://www.w3.org/2001/XMLSchema" xmlns:xs="http://www.w3.org/2001/XMLSchema" xmlns:p="http://schemas.microsoft.com/office/2006/metadata/properties" xmlns:ns2="d16efeb1-ec85-482e-8eea-89579e0e41c2" xmlns:ns3="036cdb7f-b9e5-45b9-b900-94976c4756b1" targetNamespace="http://schemas.microsoft.com/office/2006/metadata/properties" ma:root="true" ma:fieldsID="9c308b6a0dfb920b106aed9076fb34fd" ns2:_="" ns3:_="">
    <xsd:import namespace="d16efeb1-ec85-482e-8eea-89579e0e41c2"/>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feb1-ec85-482e-8eea-89579e0e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f7dd30-7c67-42d4-b734-dc5c35eb3e7b}"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980B6-82FD-44C2-BBCA-1731306BCAA3}">
  <ds:schemaRefs>
    <ds:schemaRef ds:uri="http://schemas.microsoft.com/sharepoint/v3/contenttype/forms"/>
  </ds:schemaRefs>
</ds:datastoreItem>
</file>

<file path=customXml/itemProps2.xml><?xml version="1.0" encoding="utf-8"?>
<ds:datastoreItem xmlns:ds="http://schemas.openxmlformats.org/officeDocument/2006/customXml" ds:itemID="{16BC6D55-F414-4F46-9714-B63967619B0F}">
  <ds:schemaRefs>
    <ds:schemaRef ds:uri="http://schemas.microsoft.com/office/2006/metadata/properties"/>
    <ds:schemaRef ds:uri="http://schemas.microsoft.com/office/infopath/2007/PartnerControls"/>
    <ds:schemaRef ds:uri="129642f6-c076-4d70-b65b-e236dd81d611"/>
    <ds:schemaRef ds:uri="985ec44e-1bab-4c0b-9df0-6ba128686fc9"/>
    <ds:schemaRef ds:uri="7f5529e0-4e5a-4f9f-a5d2-f041a58248ab"/>
  </ds:schemaRefs>
</ds:datastoreItem>
</file>

<file path=customXml/itemProps3.xml><?xml version="1.0" encoding="utf-8"?>
<ds:datastoreItem xmlns:ds="http://schemas.openxmlformats.org/officeDocument/2006/customXml" ds:itemID="{CF0CC854-C04F-4085-9486-C1338D145FB9}">
  <ds:schemaRefs>
    <ds:schemaRef ds:uri="http://schemas.openxmlformats.org/officeDocument/2006/bibliography"/>
  </ds:schemaRefs>
</ds:datastoreItem>
</file>

<file path=customXml/itemProps4.xml><?xml version="1.0" encoding="utf-8"?>
<ds:datastoreItem xmlns:ds="http://schemas.openxmlformats.org/officeDocument/2006/customXml" ds:itemID="{E1DD96CB-3F18-4D46-835D-F7D41ED65304}"/>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CCM_E</Template>
  <TotalTime>2</TotalTime>
  <Pages>13</Pages>
  <Words>6645</Words>
  <Characters>36549</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CCM/MSP/2023/11</vt:lpstr>
    </vt:vector>
  </TitlesOfParts>
  <Company>CSD</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CCM/MSP/2023/11</dc:title>
  <dc:subject>2318724</dc:subject>
  <dc:creator>Brahim BENATTIA</dc:creator>
  <cp:keywords/>
  <dc:description/>
  <cp:lastModifiedBy>Al-Juhaishi Emad</cp:lastModifiedBy>
  <cp:revision>3</cp:revision>
  <cp:lastPrinted>2008-01-30T19:30:00Z</cp:lastPrinted>
  <dcterms:created xsi:type="dcterms:W3CDTF">2024-09-18T08:36:00Z</dcterms:created>
  <dcterms:modified xsi:type="dcterms:W3CDTF">2024-09-18T08:38:00Z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0x010100B278D5E9A219824387A4326EA6A5F87F</vt:lpwstr>
  </property>
  <property fmtid="{D5CDD505-2E9C-101B-9397-08002B2CF9AE}" pid="3" name="Order">
    <vt:r8>9000</vt:r8>
  </property>
  <property fmtid="{D5CDD505-2E9C-101B-9397-08002B2CF9AE}" pid="4" name="MediaServiceImageTags">
    <vt:lpwstr/>
  </property>
</Properties>
</file>