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190B95E1" w14:textId="77777777" w:rsidTr="00486E0E">
        <w:trPr>
          <w:trHeight w:val="851"/>
        </w:trPr>
        <w:tc>
          <w:tcPr>
            <w:tcW w:w="1259" w:type="dxa"/>
            <w:tcBorders>
              <w:top w:val="nil"/>
              <w:left w:val="nil"/>
              <w:bottom w:val="single" w:sz="4" w:space="0" w:color="auto"/>
              <w:right w:val="nil"/>
            </w:tcBorders>
          </w:tcPr>
          <w:p w14:paraId="4ABEBB49" w14:textId="77777777" w:rsidR="00E52109" w:rsidRPr="003A3D59" w:rsidRDefault="00E52109" w:rsidP="00486E0E">
            <w:pPr>
              <w:tabs>
                <w:tab w:val="right" w:pos="850"/>
                <w:tab w:val="left" w:pos="1134"/>
                <w:tab w:val="right" w:leader="dot" w:pos="8504"/>
              </w:tabs>
              <w:spacing w:before="360" w:after="240"/>
              <w:rPr>
                <w:lang w:val="fr-CH"/>
              </w:rPr>
            </w:pPr>
          </w:p>
        </w:tc>
        <w:tc>
          <w:tcPr>
            <w:tcW w:w="2236" w:type="dxa"/>
            <w:tcBorders>
              <w:top w:val="nil"/>
              <w:left w:val="nil"/>
              <w:bottom w:val="single" w:sz="4" w:space="0" w:color="auto"/>
              <w:right w:val="nil"/>
            </w:tcBorders>
            <w:vAlign w:val="bottom"/>
          </w:tcPr>
          <w:p w14:paraId="1223BDA2" w14:textId="77777777" w:rsidR="00E52109" w:rsidRDefault="00E52109" w:rsidP="00486E0E">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02EA8BA" w14:textId="46CFC7B0" w:rsidR="00E52109" w:rsidRDefault="00931D40" w:rsidP="00931D40">
            <w:pPr>
              <w:suppressAutoHyphens w:val="0"/>
              <w:jc w:val="right"/>
            </w:pPr>
            <w:r w:rsidRPr="00931D40">
              <w:rPr>
                <w:sz w:val="40"/>
              </w:rPr>
              <w:t>CCM</w:t>
            </w:r>
            <w:r>
              <w:t>/CONF/2020/CRP.1</w:t>
            </w:r>
          </w:p>
        </w:tc>
      </w:tr>
      <w:tr w:rsidR="00676C08" w14:paraId="5E023423" w14:textId="77777777" w:rsidTr="00486E0E">
        <w:trPr>
          <w:trHeight w:val="2835"/>
        </w:trPr>
        <w:tc>
          <w:tcPr>
            <w:tcW w:w="6709" w:type="dxa"/>
            <w:gridSpan w:val="3"/>
            <w:tcBorders>
              <w:top w:val="single" w:sz="4" w:space="0" w:color="auto"/>
              <w:left w:val="nil"/>
              <w:bottom w:val="single" w:sz="12" w:space="0" w:color="auto"/>
              <w:right w:val="nil"/>
            </w:tcBorders>
          </w:tcPr>
          <w:p w14:paraId="6C8195F4" w14:textId="77777777" w:rsidR="00676C08" w:rsidRDefault="00676C08" w:rsidP="00486E0E">
            <w:pPr>
              <w:spacing w:before="120" w:line="420" w:lineRule="exact"/>
              <w:rPr>
                <w:b/>
                <w:sz w:val="40"/>
                <w:szCs w:val="40"/>
              </w:rPr>
            </w:pPr>
            <w:r>
              <w:rPr>
                <w:b/>
                <w:sz w:val="34"/>
                <w:szCs w:val="40"/>
              </w:rPr>
              <w:t xml:space="preserve">Review Conference of States Parties to the </w:t>
            </w:r>
            <w:r w:rsidRPr="001A3487">
              <w:rPr>
                <w:b/>
                <w:sz w:val="34"/>
                <w:szCs w:val="40"/>
              </w:rPr>
              <w:t>Convention on Cluster Munitions</w:t>
            </w:r>
          </w:p>
        </w:tc>
        <w:tc>
          <w:tcPr>
            <w:tcW w:w="2930" w:type="dxa"/>
            <w:tcBorders>
              <w:top w:val="single" w:sz="4" w:space="0" w:color="auto"/>
              <w:left w:val="nil"/>
              <w:bottom w:val="single" w:sz="12" w:space="0" w:color="auto"/>
              <w:right w:val="nil"/>
            </w:tcBorders>
          </w:tcPr>
          <w:p w14:paraId="65DD2FF3" w14:textId="77777777" w:rsidR="005D0E03" w:rsidRDefault="00931D40" w:rsidP="00931D40">
            <w:pPr>
              <w:suppressAutoHyphens w:val="0"/>
              <w:spacing w:before="240" w:line="240" w:lineRule="exact"/>
            </w:pPr>
            <w:r>
              <w:t>25 November 2020</w:t>
            </w:r>
          </w:p>
          <w:p w14:paraId="26E7037B" w14:textId="77777777" w:rsidR="00931D40" w:rsidRDefault="00931D40" w:rsidP="00931D40">
            <w:pPr>
              <w:suppressAutoHyphens w:val="0"/>
              <w:spacing w:line="240" w:lineRule="exact"/>
            </w:pPr>
          </w:p>
          <w:p w14:paraId="4262A935" w14:textId="6916B0D6" w:rsidR="00931D40" w:rsidRDefault="00931D40" w:rsidP="00931D40">
            <w:pPr>
              <w:suppressAutoHyphens w:val="0"/>
              <w:spacing w:line="240" w:lineRule="exact"/>
            </w:pPr>
            <w:r>
              <w:t>English</w:t>
            </w:r>
            <w:r w:rsidR="007E63D1">
              <w:t xml:space="preserve"> only</w:t>
            </w:r>
          </w:p>
        </w:tc>
      </w:tr>
    </w:tbl>
    <w:p w14:paraId="1DA4FA60" w14:textId="77777777" w:rsidR="00405882" w:rsidRDefault="00405882" w:rsidP="00405882">
      <w:pPr>
        <w:rPr>
          <w:rFonts w:asciiTheme="majorBidi" w:hAnsiTheme="majorBidi" w:cstheme="majorBidi"/>
          <w:b/>
          <w:bCs/>
        </w:rPr>
      </w:pPr>
      <w:r>
        <w:rPr>
          <w:rFonts w:asciiTheme="majorBidi" w:hAnsiTheme="majorBidi" w:cstheme="majorBidi"/>
          <w:b/>
          <w:bCs/>
        </w:rPr>
        <w:t>Second Review Conference</w:t>
      </w:r>
    </w:p>
    <w:p w14:paraId="5D25E919" w14:textId="77777777" w:rsidR="00405882" w:rsidRDefault="00405882" w:rsidP="00405882">
      <w:pPr>
        <w:rPr>
          <w:rFonts w:asciiTheme="majorBidi" w:hAnsiTheme="majorBidi" w:cstheme="majorBidi"/>
          <w:b/>
          <w:bCs/>
        </w:rPr>
      </w:pPr>
      <w:r>
        <w:rPr>
          <w:rFonts w:asciiTheme="majorBidi" w:hAnsiTheme="majorBidi" w:cstheme="majorBidi"/>
          <w:b/>
          <w:bCs/>
        </w:rPr>
        <w:t>Geneva, 25-27 November 2020 and 4-5 February 2021</w:t>
      </w:r>
    </w:p>
    <w:p w14:paraId="126C5514" w14:textId="77777777" w:rsidR="00405882" w:rsidRPr="008E573F" w:rsidRDefault="00405882" w:rsidP="00405882">
      <w:pPr>
        <w:rPr>
          <w:rFonts w:asciiTheme="majorBidi" w:hAnsiTheme="majorBidi" w:cstheme="majorBidi"/>
          <w:bCs/>
        </w:rPr>
      </w:pPr>
      <w:r>
        <w:rPr>
          <w:rFonts w:asciiTheme="majorBidi" w:hAnsiTheme="majorBidi" w:cstheme="majorBidi"/>
          <w:bCs/>
        </w:rPr>
        <w:t>Item 8 (i) of the provisional agenda</w:t>
      </w:r>
    </w:p>
    <w:p w14:paraId="61089071" w14:textId="77777777" w:rsidR="00405882" w:rsidRDefault="00405882" w:rsidP="00405882">
      <w:pPr>
        <w:rPr>
          <w:rFonts w:asciiTheme="majorBidi" w:hAnsiTheme="majorBidi" w:cstheme="majorBidi"/>
          <w:b/>
          <w:bCs/>
        </w:rPr>
      </w:pPr>
      <w:r>
        <w:rPr>
          <w:rFonts w:asciiTheme="majorBidi" w:hAnsiTheme="majorBidi" w:cstheme="majorBidi"/>
          <w:b/>
          <w:bCs/>
        </w:rPr>
        <w:t>Implementation support</w:t>
      </w:r>
    </w:p>
    <w:p w14:paraId="209A3763" w14:textId="77777777" w:rsidR="00405882" w:rsidRPr="00C10C9F" w:rsidRDefault="00405882" w:rsidP="00405882">
      <w:pPr>
        <w:pStyle w:val="HChG"/>
        <w:ind w:right="0"/>
        <w:rPr>
          <w:sz w:val="32"/>
          <w:szCs w:val="32"/>
        </w:rPr>
      </w:pPr>
      <w:r w:rsidRPr="00C80322">
        <w:tab/>
      </w:r>
      <w:r>
        <w:tab/>
      </w:r>
      <w:r w:rsidRPr="00C10C9F">
        <w:rPr>
          <w:sz w:val="32"/>
          <w:szCs w:val="32"/>
        </w:rPr>
        <w:t xml:space="preserve">Elements for the decision on the Convention’s machinery </w:t>
      </w:r>
    </w:p>
    <w:p w14:paraId="574B9FDD" w14:textId="77777777" w:rsidR="00405882" w:rsidRDefault="00405882" w:rsidP="00405882">
      <w:pPr>
        <w:pStyle w:val="H1G"/>
      </w:pPr>
      <w:r>
        <w:tab/>
      </w:r>
      <w:r>
        <w:tab/>
        <w:t>Submitted by the President of the Second Review Conference</w:t>
      </w:r>
    </w:p>
    <w:p w14:paraId="0B40C565" w14:textId="77777777" w:rsidR="00405882" w:rsidRPr="00C80322" w:rsidRDefault="00405882" w:rsidP="00405882">
      <w:pPr>
        <w:pStyle w:val="HChG"/>
      </w:pPr>
      <w:r>
        <w:tab/>
      </w:r>
      <w:r w:rsidRPr="00C80322">
        <w:t>I.</w:t>
      </w:r>
      <w:r w:rsidRPr="00C80322">
        <w:tab/>
        <w:t>Introduction</w:t>
      </w:r>
    </w:p>
    <w:p w14:paraId="4EE15A94" w14:textId="77777777" w:rsidR="00405882" w:rsidRDefault="00405882" w:rsidP="00405882">
      <w:pPr>
        <w:pStyle w:val="SingleTxtG"/>
        <w:rPr>
          <w:lang w:val="en-US"/>
        </w:rPr>
      </w:pPr>
      <w:r w:rsidRPr="00C80322">
        <w:t>1.</w:t>
      </w:r>
      <w:r w:rsidRPr="00C80322">
        <w:tab/>
      </w:r>
      <w:r>
        <w:t xml:space="preserve">Different aspects related to the Conventions machinery were discussed at the First Preparatory Meeting to the Review Conference on 29 June 2020 as well as during an informal meeting held on 14 October 2020, taking into account working papers prepared by the Presidency. </w:t>
      </w:r>
      <w:r w:rsidRPr="00DA4DDD">
        <w:rPr>
          <w:lang w:val="en-US"/>
        </w:rPr>
        <w:t xml:space="preserve">Exchanges </w:t>
      </w:r>
      <w:r>
        <w:rPr>
          <w:lang w:val="en-US"/>
        </w:rPr>
        <w:t>were</w:t>
      </w:r>
      <w:r w:rsidRPr="00DA4DDD">
        <w:rPr>
          <w:lang w:val="en-US"/>
        </w:rPr>
        <w:t xml:space="preserve"> very fruitful as well as useful to the presidency.</w:t>
      </w:r>
      <w:r>
        <w:rPr>
          <w:lang w:val="en-US"/>
        </w:rPr>
        <w:t xml:space="preserve"> Relying on these discussions, the Presidency suggests that the decisions with regard to the Convention’s machinery rely on the elements mentioned below. </w:t>
      </w:r>
    </w:p>
    <w:p w14:paraId="365CC405" w14:textId="77777777" w:rsidR="00405882" w:rsidRPr="006F5AAB" w:rsidRDefault="00405882" w:rsidP="00405882">
      <w:pPr>
        <w:pStyle w:val="HChG"/>
        <w:rPr>
          <w:lang w:val="en-US"/>
        </w:rPr>
      </w:pPr>
      <w:r>
        <w:rPr>
          <w:lang w:val="en-US"/>
        </w:rPr>
        <w:tab/>
      </w:r>
      <w:r w:rsidRPr="006F5AAB">
        <w:rPr>
          <w:lang w:val="en-US"/>
        </w:rPr>
        <w:t>II.</w:t>
      </w:r>
      <w:r>
        <w:rPr>
          <w:lang w:val="en-US"/>
        </w:rPr>
        <w:tab/>
      </w:r>
      <w:r w:rsidRPr="006F5AAB">
        <w:rPr>
          <w:lang w:val="en-US"/>
        </w:rPr>
        <w:t>Elements for the decision on the machinery</w:t>
      </w:r>
    </w:p>
    <w:p w14:paraId="1FD8CF02" w14:textId="77777777" w:rsidR="00405882" w:rsidRPr="00BE787D" w:rsidRDefault="00405882" w:rsidP="00405882">
      <w:pPr>
        <w:pStyle w:val="SingleTxtG"/>
        <w:rPr>
          <w:lang w:val="en-US"/>
        </w:rPr>
      </w:pPr>
      <w:r>
        <w:rPr>
          <w:lang w:val="en-US"/>
        </w:rPr>
        <w:t>2.</w:t>
      </w:r>
      <w:r>
        <w:rPr>
          <w:lang w:val="en-US"/>
        </w:rPr>
        <w:tab/>
      </w:r>
      <w:r w:rsidRPr="00BE787D">
        <w:rPr>
          <w:lang w:val="en-US"/>
        </w:rPr>
        <w:t>With regard to the Implementation Support Unit, to take the following two decision</w:t>
      </w:r>
      <w:r>
        <w:rPr>
          <w:lang w:val="en-US"/>
        </w:rPr>
        <w:t>s</w:t>
      </w:r>
      <w:r w:rsidRPr="00BE787D">
        <w:rPr>
          <w:lang w:val="en-US"/>
        </w:rPr>
        <w:t xml:space="preserve">. </w:t>
      </w:r>
    </w:p>
    <w:p w14:paraId="5B8A3560" w14:textId="77777777" w:rsidR="00405882" w:rsidRPr="00BE787D" w:rsidRDefault="00405882" w:rsidP="00405882">
      <w:pPr>
        <w:pStyle w:val="SingleTxtG"/>
        <w:ind w:left="1138" w:right="1138" w:firstLine="562"/>
        <w:rPr>
          <w:lang w:val="en-US"/>
        </w:rPr>
      </w:pPr>
      <w:r>
        <w:rPr>
          <w:shd w:val="clear" w:color="auto" w:fill="FFFFFF"/>
          <w:lang w:val="en-US"/>
        </w:rPr>
        <w:t>(a)</w:t>
      </w:r>
      <w:r>
        <w:rPr>
          <w:shd w:val="clear" w:color="auto" w:fill="FFFFFF"/>
          <w:lang w:val="en-US"/>
        </w:rPr>
        <w:tab/>
      </w:r>
      <w:r w:rsidRPr="00BE787D">
        <w:rPr>
          <w:shd w:val="clear" w:color="auto" w:fill="FFFFFF"/>
          <w:lang w:val="en-US"/>
        </w:rPr>
        <w:t xml:space="preserve">to maintain the current procedures on the financing of the ISU as adopted at the First Review Conference, with </w:t>
      </w:r>
      <w:r>
        <w:rPr>
          <w:shd w:val="clear" w:color="auto" w:fill="FFFFFF"/>
          <w:lang w:val="en-US"/>
        </w:rPr>
        <w:t>the following</w:t>
      </w:r>
      <w:r w:rsidRPr="00BE787D">
        <w:rPr>
          <w:shd w:val="clear" w:color="auto" w:fill="FFFFFF"/>
          <w:lang w:val="en-US"/>
        </w:rPr>
        <w:t xml:space="preserve"> adjustments: </w:t>
      </w:r>
    </w:p>
    <w:p w14:paraId="602E7FCF" w14:textId="77777777" w:rsidR="00405882" w:rsidRDefault="00405882" w:rsidP="00405882">
      <w:pPr>
        <w:pStyle w:val="SingleTxtG"/>
        <w:ind w:left="1701" w:right="1138"/>
        <w:rPr>
          <w:color w:val="212529"/>
          <w:shd w:val="clear" w:color="auto" w:fill="FFFFFF"/>
          <w:lang w:val="en-US"/>
        </w:rPr>
      </w:pPr>
      <w:r>
        <w:rPr>
          <w:color w:val="212529"/>
          <w:shd w:val="clear" w:color="auto" w:fill="FFFFFF"/>
          <w:lang w:val="en-US"/>
        </w:rPr>
        <w:t>(i)</w:t>
      </w:r>
      <w:r>
        <w:rPr>
          <w:color w:val="212529"/>
          <w:shd w:val="clear" w:color="auto" w:fill="FFFFFF"/>
          <w:lang w:val="en-US"/>
        </w:rPr>
        <w:tab/>
      </w:r>
      <w:r w:rsidRPr="00BE787D">
        <w:rPr>
          <w:color w:val="212529"/>
          <w:shd w:val="clear" w:color="auto" w:fill="FFFFFF"/>
          <w:lang w:val="en-US"/>
        </w:rPr>
        <w:t>not to include States not parties participating in formal CCM meetings under category 7a of the financing procedures</w:t>
      </w:r>
      <w:r>
        <w:rPr>
          <w:color w:val="212529"/>
          <w:shd w:val="clear" w:color="auto" w:fill="FFFFFF"/>
          <w:lang w:val="en-US"/>
        </w:rPr>
        <w:t>;</w:t>
      </w:r>
    </w:p>
    <w:p w14:paraId="72EA2387" w14:textId="77777777" w:rsidR="00405882" w:rsidRPr="00BE787D" w:rsidRDefault="00405882" w:rsidP="00405882">
      <w:pPr>
        <w:pStyle w:val="SingleTxtG"/>
        <w:ind w:left="1701" w:right="1138"/>
        <w:rPr>
          <w:lang w:val="en-US"/>
        </w:rPr>
      </w:pPr>
      <w:r>
        <w:rPr>
          <w:color w:val="212529"/>
          <w:shd w:val="clear" w:color="auto" w:fill="FFFFFF"/>
          <w:lang w:val="en-US"/>
        </w:rPr>
        <w:t>(ii)</w:t>
      </w:r>
      <w:r>
        <w:rPr>
          <w:color w:val="212529"/>
          <w:shd w:val="clear" w:color="auto" w:fill="FFFFFF"/>
          <w:lang w:val="en-US"/>
        </w:rPr>
        <w:tab/>
      </w:r>
      <w:r w:rsidRPr="00BE787D">
        <w:rPr>
          <w:color w:val="212529"/>
          <w:shd w:val="clear" w:color="auto" w:fill="FFFFFF"/>
          <w:lang w:val="en-US"/>
        </w:rPr>
        <w:t>to adjust the percentage for categories 7a and 7b contained in the procedures from the current 40% for 7a and 60% for 7b to henceforth 50% for cate</w:t>
      </w:r>
      <w:r>
        <w:rPr>
          <w:color w:val="212529"/>
          <w:shd w:val="clear" w:color="auto" w:fill="FFFFFF"/>
          <w:lang w:val="en-US"/>
        </w:rPr>
        <w:t>gory 7a and 50% for category 7b;</w:t>
      </w:r>
    </w:p>
    <w:p w14:paraId="1B61F180" w14:textId="77777777" w:rsidR="00405882" w:rsidRPr="00BE787D" w:rsidRDefault="00405882" w:rsidP="00405882">
      <w:pPr>
        <w:pStyle w:val="SingleTxtG"/>
        <w:ind w:left="1701" w:right="1138"/>
        <w:rPr>
          <w:lang w:val="en-US"/>
        </w:rPr>
      </w:pPr>
      <w:r>
        <w:rPr>
          <w:color w:val="212529"/>
          <w:shd w:val="clear" w:color="auto" w:fill="FFFFFF"/>
          <w:lang w:val="en-US"/>
        </w:rPr>
        <w:t>(iii)</w:t>
      </w:r>
      <w:r>
        <w:rPr>
          <w:color w:val="212529"/>
          <w:shd w:val="clear" w:color="auto" w:fill="FFFFFF"/>
          <w:lang w:val="en-US"/>
        </w:rPr>
        <w:tab/>
        <w:t>task</w:t>
      </w:r>
      <w:r w:rsidRPr="00BE787D">
        <w:rPr>
          <w:color w:val="212529"/>
          <w:shd w:val="clear" w:color="auto" w:fill="FFFFFF"/>
          <w:lang w:val="en-US"/>
        </w:rPr>
        <w:t xml:space="preserve"> the ISU to conduct regular outreach activities to ensure that States Parties are fully cognizant of the procedures on the financing of the ISU.</w:t>
      </w:r>
    </w:p>
    <w:p w14:paraId="177A6DEE" w14:textId="77777777" w:rsidR="00405882" w:rsidRDefault="00405882" w:rsidP="00405882">
      <w:pPr>
        <w:pStyle w:val="SingleTxtG"/>
        <w:ind w:left="1138" w:right="1138" w:firstLine="562"/>
        <w:rPr>
          <w:lang w:val="en-US"/>
        </w:rPr>
      </w:pPr>
      <w:r>
        <w:rPr>
          <w:lang w:val="en-US"/>
        </w:rPr>
        <w:t>(b)</w:t>
      </w:r>
      <w:r>
        <w:rPr>
          <w:lang w:val="en-US"/>
        </w:rPr>
        <w:tab/>
      </w:r>
      <w:r w:rsidRPr="00BE787D">
        <w:rPr>
          <w:lang w:val="en-US"/>
        </w:rPr>
        <w:t xml:space="preserve">to set the duration </w:t>
      </w:r>
      <w:r>
        <w:rPr>
          <w:lang w:val="en-US"/>
        </w:rPr>
        <w:t>for the tenure of</w:t>
      </w:r>
      <w:r w:rsidRPr="00BE787D">
        <w:rPr>
          <w:lang w:val="en-US"/>
        </w:rPr>
        <w:t xml:space="preserve"> future ISU Directors to a fixed term of 4 years, renewable once for another fixed term of 4 years with the approval of the States Parties</w:t>
      </w:r>
      <w:r>
        <w:rPr>
          <w:lang w:val="en-US"/>
        </w:rPr>
        <w:t>, and in this context:</w:t>
      </w:r>
    </w:p>
    <w:p w14:paraId="4ED8004D" w14:textId="77777777" w:rsidR="00405882" w:rsidRDefault="00405882" w:rsidP="00405882">
      <w:pPr>
        <w:pStyle w:val="SingleTxtG"/>
        <w:ind w:left="1701" w:right="1138"/>
        <w:rPr>
          <w:lang w:val="en-US"/>
        </w:rPr>
      </w:pPr>
      <w:r>
        <w:rPr>
          <w:lang w:val="en-US"/>
        </w:rPr>
        <w:t>(iv)</w:t>
      </w:r>
      <w:r>
        <w:rPr>
          <w:lang w:val="en-US"/>
        </w:rPr>
        <w:tab/>
      </w:r>
      <w:r w:rsidRPr="00073919">
        <w:rPr>
          <w:color w:val="212529"/>
          <w:shd w:val="clear" w:color="auto" w:fill="FFFFFF"/>
          <w:lang w:val="en-US"/>
        </w:rPr>
        <w:t>that</w:t>
      </w:r>
      <w:r>
        <w:rPr>
          <w:lang w:val="en-US"/>
        </w:rPr>
        <w:t xml:space="preserve"> selection process for the rec</w:t>
      </w:r>
      <w:r w:rsidRPr="00BE787D">
        <w:rPr>
          <w:lang w:val="en-US"/>
        </w:rPr>
        <w:t>ruitment of the second ISU Director will start after the Tenth Meetin</w:t>
      </w:r>
      <w:r>
        <w:rPr>
          <w:lang w:val="en-US"/>
        </w:rPr>
        <w:t>g of States Parties;</w:t>
      </w:r>
    </w:p>
    <w:p w14:paraId="4F9076B1" w14:textId="77777777" w:rsidR="00405882" w:rsidRDefault="00405882" w:rsidP="00405882">
      <w:pPr>
        <w:pStyle w:val="SingleTxtG"/>
        <w:ind w:left="1701" w:right="1138"/>
        <w:rPr>
          <w:lang w:val="en-US"/>
        </w:rPr>
      </w:pPr>
      <w:r>
        <w:rPr>
          <w:lang w:val="en-US"/>
        </w:rPr>
        <w:t>(v)</w:t>
      </w:r>
      <w:r>
        <w:rPr>
          <w:lang w:val="en-US"/>
        </w:rPr>
        <w:tab/>
      </w:r>
      <w:r w:rsidRPr="00BE787D">
        <w:rPr>
          <w:lang w:val="en-US"/>
        </w:rPr>
        <w:t xml:space="preserve">to mandate the President of </w:t>
      </w:r>
      <w:r>
        <w:rPr>
          <w:lang w:val="en-US"/>
        </w:rPr>
        <w:t>the Tenth</w:t>
      </w:r>
      <w:r w:rsidRPr="00BE787D">
        <w:rPr>
          <w:lang w:val="en-US"/>
        </w:rPr>
        <w:t xml:space="preserve"> Meeting</w:t>
      </w:r>
      <w:r>
        <w:rPr>
          <w:lang w:val="en-US"/>
        </w:rPr>
        <w:t xml:space="preserve"> of States Parties</w:t>
      </w:r>
      <w:r w:rsidRPr="00BE787D">
        <w:rPr>
          <w:lang w:val="en-US"/>
        </w:rPr>
        <w:t xml:space="preserve"> to elaborate a selection procedure for the recruitment of future ISU Directors</w:t>
      </w:r>
      <w:r>
        <w:rPr>
          <w:lang w:val="en-US"/>
        </w:rPr>
        <w:t>,</w:t>
      </w:r>
      <w:r w:rsidRPr="00BE787D">
        <w:rPr>
          <w:lang w:val="en-US"/>
        </w:rPr>
        <w:t xml:space="preserve"> </w:t>
      </w:r>
      <w:r>
        <w:rPr>
          <w:lang w:val="en-US"/>
        </w:rPr>
        <w:t>to be considered at that Meeting of States Parties;</w:t>
      </w:r>
    </w:p>
    <w:p w14:paraId="742653A4" w14:textId="77777777" w:rsidR="00405882" w:rsidRPr="00BE787D" w:rsidRDefault="00405882" w:rsidP="00405882">
      <w:pPr>
        <w:pStyle w:val="SingleTxtG"/>
        <w:ind w:left="1701" w:right="1138"/>
        <w:rPr>
          <w:lang w:val="en-US"/>
        </w:rPr>
      </w:pPr>
      <w:r>
        <w:rPr>
          <w:lang w:val="en-US"/>
        </w:rPr>
        <w:t>(vi)</w:t>
      </w:r>
      <w:r>
        <w:rPr>
          <w:lang w:val="en-US"/>
        </w:rPr>
        <w:tab/>
        <w:t xml:space="preserve">to extend the mandate of the current ISU Director </w:t>
      </w:r>
      <w:r w:rsidRPr="00BE787D">
        <w:rPr>
          <w:lang w:val="en-US"/>
        </w:rPr>
        <w:t xml:space="preserve">until the nomination of the next </w:t>
      </w:r>
      <w:r>
        <w:rPr>
          <w:lang w:val="en-US"/>
        </w:rPr>
        <w:t xml:space="preserve">ISU </w:t>
      </w:r>
      <w:r w:rsidRPr="00BE787D">
        <w:rPr>
          <w:lang w:val="en-US"/>
        </w:rPr>
        <w:t>Director.</w:t>
      </w:r>
    </w:p>
    <w:p w14:paraId="7D63B7A1" w14:textId="77777777" w:rsidR="00405882" w:rsidRDefault="00405882" w:rsidP="00405882">
      <w:pPr>
        <w:pStyle w:val="SingleTxtG"/>
        <w:rPr>
          <w:lang w:val="en-US"/>
        </w:rPr>
      </w:pPr>
      <w:r>
        <w:rPr>
          <w:lang w:val="en-US"/>
        </w:rPr>
        <w:lastRenderedPageBreak/>
        <w:t>3.</w:t>
      </w:r>
      <w:r>
        <w:rPr>
          <w:lang w:val="en-US"/>
        </w:rPr>
        <w:tab/>
        <w:t>With regard to the programme of meetings, to take the following decisions:</w:t>
      </w:r>
    </w:p>
    <w:p w14:paraId="7588A1D5" w14:textId="77777777" w:rsidR="00405882" w:rsidRDefault="00405882" w:rsidP="00405882">
      <w:pPr>
        <w:pStyle w:val="SingleTxtG"/>
        <w:ind w:left="1138" w:right="1138" w:firstLine="562"/>
        <w:rPr>
          <w:lang w:val="en-US"/>
        </w:rPr>
      </w:pPr>
      <w:r>
        <w:rPr>
          <w:lang w:val="en-US"/>
        </w:rPr>
        <w:t>(a)</w:t>
      </w:r>
      <w:r>
        <w:rPr>
          <w:lang w:val="en-US"/>
        </w:rPr>
        <w:tab/>
      </w:r>
      <w:r w:rsidRPr="00BD0F8F">
        <w:rPr>
          <w:lang w:val="en-US"/>
        </w:rPr>
        <w:t xml:space="preserve">to convene annually, until the </w:t>
      </w:r>
      <w:r>
        <w:rPr>
          <w:lang w:val="en-US"/>
        </w:rPr>
        <w:t>Third</w:t>
      </w:r>
      <w:r w:rsidRPr="00BD0F8F">
        <w:rPr>
          <w:lang w:val="en-US"/>
        </w:rPr>
        <w:t xml:space="preserve"> Review Conference, a Meeting of States Parties for up to </w:t>
      </w:r>
      <w:r>
        <w:rPr>
          <w:lang w:val="en-US"/>
        </w:rPr>
        <w:t>four days;</w:t>
      </w:r>
    </w:p>
    <w:p w14:paraId="15B55C72" w14:textId="77777777" w:rsidR="00405882" w:rsidRDefault="00405882" w:rsidP="00405882">
      <w:pPr>
        <w:pStyle w:val="SingleTxtG"/>
        <w:ind w:left="1138" w:right="1138" w:firstLine="562"/>
        <w:rPr>
          <w:lang w:val="en-US"/>
        </w:rPr>
      </w:pPr>
      <w:r>
        <w:rPr>
          <w:lang w:val="en-US"/>
        </w:rPr>
        <w:t>(b</w:t>
      </w:r>
      <w:r w:rsidRPr="00BD0F8F">
        <w:rPr>
          <w:lang w:val="en-US"/>
        </w:rPr>
        <w:t>)</w:t>
      </w:r>
      <w:r>
        <w:rPr>
          <w:lang w:val="en-US"/>
        </w:rPr>
        <w:tab/>
      </w:r>
      <w:r w:rsidRPr="00BD0F8F">
        <w:rPr>
          <w:lang w:val="en-US"/>
        </w:rPr>
        <w:t xml:space="preserve">to hold the </w:t>
      </w:r>
      <w:r>
        <w:rPr>
          <w:lang w:val="en-US"/>
        </w:rPr>
        <w:t>Third</w:t>
      </w:r>
      <w:r w:rsidRPr="00BD0F8F">
        <w:rPr>
          <w:lang w:val="en-US"/>
        </w:rPr>
        <w:t xml:space="preserve"> Review Conference </w:t>
      </w:r>
      <w:r>
        <w:rPr>
          <w:lang w:val="en-US"/>
        </w:rPr>
        <w:t>in 2025;</w:t>
      </w:r>
    </w:p>
    <w:p w14:paraId="69A842D3" w14:textId="77777777" w:rsidR="00405882" w:rsidRDefault="00405882" w:rsidP="00405882">
      <w:pPr>
        <w:pStyle w:val="SingleTxtG"/>
        <w:ind w:left="1138" w:right="1138" w:firstLine="562"/>
        <w:rPr>
          <w:lang w:val="en-US"/>
        </w:rPr>
      </w:pPr>
      <w:r>
        <w:rPr>
          <w:lang w:val="en-US"/>
        </w:rPr>
        <w:t>(c</w:t>
      </w:r>
      <w:r w:rsidRPr="00BD0F8F">
        <w:rPr>
          <w:lang w:val="en-US"/>
        </w:rPr>
        <w:t>)</w:t>
      </w:r>
      <w:r>
        <w:rPr>
          <w:lang w:val="en-US"/>
        </w:rPr>
        <w:tab/>
      </w:r>
      <w:r w:rsidRPr="00BD0F8F">
        <w:rPr>
          <w:lang w:val="en-US"/>
        </w:rPr>
        <w:t>to hold</w:t>
      </w:r>
      <w:r>
        <w:rPr>
          <w:lang w:val="en-US"/>
        </w:rPr>
        <w:t xml:space="preserve"> informal</w:t>
      </w:r>
      <w:r w:rsidRPr="00BD0F8F">
        <w:rPr>
          <w:lang w:val="en-US"/>
        </w:rPr>
        <w:t xml:space="preserve"> intersessional meetings </w:t>
      </w:r>
      <w:r>
        <w:rPr>
          <w:lang w:val="en-US"/>
        </w:rPr>
        <w:t>in Geneva for up to two days in 2021, where possible consecutively with informal meetings held under other relevant treaties</w:t>
      </w:r>
      <w:r w:rsidRPr="008C7AB9">
        <w:rPr>
          <w:lang w:val="en-US"/>
        </w:rPr>
        <w:t xml:space="preserve"> to </w:t>
      </w:r>
      <w:r>
        <w:rPr>
          <w:lang w:val="en-US"/>
        </w:rPr>
        <w:t>minimize travel costs, and:</w:t>
      </w:r>
      <w:r w:rsidRPr="00BD0F8F">
        <w:rPr>
          <w:lang w:val="en-US"/>
        </w:rPr>
        <w:t xml:space="preserve"> </w:t>
      </w:r>
    </w:p>
    <w:p w14:paraId="77188871" w14:textId="77777777" w:rsidR="00405882" w:rsidRDefault="00405882" w:rsidP="00405882">
      <w:pPr>
        <w:pStyle w:val="SingleTxtG"/>
        <w:ind w:left="1701" w:right="1138"/>
        <w:rPr>
          <w:lang w:val="en-US"/>
        </w:rPr>
      </w:pPr>
      <w:r>
        <w:rPr>
          <w:lang w:val="en-US"/>
        </w:rPr>
        <w:t>(i)</w:t>
      </w:r>
      <w:r>
        <w:rPr>
          <w:lang w:val="en-US"/>
        </w:rPr>
        <w:tab/>
      </w:r>
      <w:r w:rsidRPr="00E21F71">
        <w:rPr>
          <w:lang w:val="en-US"/>
        </w:rPr>
        <w:t>that the President of the Tenth Meeting of States Parties will elaborate a programme for the 2021 intersessional meetings, in cooperation w</w:t>
      </w:r>
      <w:r>
        <w:rPr>
          <w:lang w:val="en-US"/>
        </w:rPr>
        <w:t>ith the Coordination Committee;</w:t>
      </w:r>
    </w:p>
    <w:p w14:paraId="0337578F" w14:textId="77777777" w:rsidR="00405882" w:rsidRPr="00E21F71" w:rsidRDefault="00405882" w:rsidP="00405882">
      <w:pPr>
        <w:pStyle w:val="SingleTxtG"/>
        <w:ind w:left="1701" w:right="1138"/>
        <w:rPr>
          <w:lang w:val="en-US"/>
        </w:rPr>
      </w:pPr>
      <w:r>
        <w:rPr>
          <w:lang w:val="en-US"/>
        </w:rPr>
        <w:t>(ii)</w:t>
      </w:r>
      <w:r>
        <w:rPr>
          <w:lang w:val="en-US"/>
        </w:rPr>
        <w:tab/>
      </w:r>
      <w:r w:rsidRPr="00E21F71">
        <w:rPr>
          <w:lang w:val="en-US"/>
        </w:rPr>
        <w:t xml:space="preserve">that each annual Meeting of States Parties will decide whether intersessional meetings will be held during the ensuing </w:t>
      </w:r>
      <w:r>
        <w:rPr>
          <w:lang w:val="en-US"/>
        </w:rPr>
        <w:t>annual cycle;</w:t>
      </w:r>
    </w:p>
    <w:p w14:paraId="7D26A9D7" w14:textId="77777777" w:rsidR="00405882" w:rsidRPr="00E21F71" w:rsidRDefault="00405882" w:rsidP="00405882">
      <w:pPr>
        <w:pStyle w:val="SingleTxtG"/>
        <w:ind w:left="1701" w:right="1138"/>
        <w:rPr>
          <w:lang w:val="en-US"/>
        </w:rPr>
      </w:pPr>
      <w:r>
        <w:rPr>
          <w:lang w:val="en-US"/>
        </w:rPr>
        <w:t>(iii)</w:t>
      </w:r>
      <w:r>
        <w:rPr>
          <w:lang w:val="en-US"/>
        </w:rPr>
        <w:tab/>
      </w:r>
      <w:r w:rsidRPr="00E21F71">
        <w:rPr>
          <w:lang w:val="en-US"/>
        </w:rPr>
        <w:t>that intersessional meetings will be financed by voluntary contributions and interpretation services will be provided in the languages of the Convention that are official languages of a State Party.</w:t>
      </w:r>
    </w:p>
    <w:p w14:paraId="4F4E9358" w14:textId="77777777" w:rsidR="00405882" w:rsidRDefault="00405882" w:rsidP="00405882">
      <w:pPr>
        <w:pStyle w:val="SingleTxtG"/>
        <w:rPr>
          <w:lang w:val="en-US"/>
        </w:rPr>
      </w:pPr>
      <w:r>
        <w:rPr>
          <w:lang w:val="en-US"/>
        </w:rPr>
        <w:t>4.</w:t>
      </w:r>
      <w:r>
        <w:rPr>
          <w:lang w:val="en-US"/>
        </w:rPr>
        <w:tab/>
        <w:t xml:space="preserve">With regard to the Coordination Committee, Working Groups and Coordinators to take the following decisions: </w:t>
      </w:r>
    </w:p>
    <w:p w14:paraId="147779A7" w14:textId="21F483C3" w:rsidR="00405882" w:rsidRPr="00E17176" w:rsidRDefault="00405882" w:rsidP="00405882">
      <w:pPr>
        <w:pStyle w:val="SingleTxtG"/>
        <w:ind w:left="1138" w:right="1138" w:firstLine="562"/>
        <w:rPr>
          <w:lang w:val="en-US"/>
        </w:rPr>
      </w:pPr>
      <w:r>
        <w:rPr>
          <w:lang w:val="en-US"/>
        </w:rPr>
        <w:t>(a)</w:t>
      </w:r>
      <w:r>
        <w:rPr>
          <w:lang w:val="en-US"/>
        </w:rPr>
        <w:tab/>
      </w:r>
      <w:r w:rsidRPr="00E17176">
        <w:rPr>
          <w:lang w:val="en-US"/>
        </w:rPr>
        <w:t>that the composition of the Coordination Committee shall remain unchanged, comprising the President, the President-designate, the outgoing President</w:t>
      </w:r>
      <w:r w:rsidR="00DC4C24">
        <w:rPr>
          <w:lang w:val="en-US"/>
        </w:rPr>
        <w:t xml:space="preserve"> and</w:t>
      </w:r>
      <w:r w:rsidRPr="00E17176">
        <w:rPr>
          <w:lang w:val="en-US"/>
        </w:rPr>
        <w:t xml:space="preserve"> </w:t>
      </w:r>
      <w:r w:rsidR="00DC4C24">
        <w:rPr>
          <w:lang w:val="en-US"/>
        </w:rPr>
        <w:t xml:space="preserve">all </w:t>
      </w:r>
      <w:r w:rsidRPr="00E17176">
        <w:rPr>
          <w:lang w:val="en-US"/>
        </w:rPr>
        <w:t>the Coordinators, with the International Committee of the Red Cross, the United Nations and the Cluster Munitions Coalition invited to participate as observers, while recalling that the Coordination Committee may call upon others to assist with its work, as appropriate</w:t>
      </w:r>
      <w:r>
        <w:rPr>
          <w:lang w:val="en-US"/>
        </w:rPr>
        <w:t>;</w:t>
      </w:r>
      <w:r w:rsidRPr="00E17176">
        <w:rPr>
          <w:lang w:val="en-US"/>
        </w:rPr>
        <w:t xml:space="preserve"> </w:t>
      </w:r>
    </w:p>
    <w:p w14:paraId="4682B79C" w14:textId="083EC07E" w:rsidR="00405882" w:rsidRDefault="00405882" w:rsidP="00405882">
      <w:pPr>
        <w:pStyle w:val="SingleTxtG"/>
        <w:ind w:left="1138" w:right="1138" w:firstLine="562"/>
        <w:rPr>
          <w:lang w:val="en-US"/>
        </w:rPr>
      </w:pPr>
      <w:r>
        <w:rPr>
          <w:lang w:val="en-US"/>
        </w:rPr>
        <w:t>(b)</w:t>
      </w:r>
      <w:r>
        <w:rPr>
          <w:lang w:val="en-US"/>
        </w:rPr>
        <w:tab/>
      </w:r>
      <w:r w:rsidRPr="00E17176">
        <w:rPr>
          <w:lang w:val="en-US"/>
        </w:rPr>
        <w:t>to mandate the Committee to  review relevant information provided by the States Parties on the implementation of the commitments contained in the Lausanne Action Plan, to provide a progress report thereon</w:t>
      </w:r>
      <w:r w:rsidR="00DC4C24">
        <w:rPr>
          <w:lang w:val="en-US"/>
        </w:rPr>
        <w:t xml:space="preserve"> annually to the Meetings of</w:t>
      </w:r>
      <w:r w:rsidRPr="00E17176">
        <w:rPr>
          <w:lang w:val="en-US"/>
        </w:rPr>
        <w:t xml:space="preserve"> States Parties/Review Conference, including joint conclusions on the status of implementation</w:t>
      </w:r>
      <w:r>
        <w:rPr>
          <w:lang w:val="en-US"/>
        </w:rPr>
        <w:t>;</w:t>
      </w:r>
      <w:r w:rsidRPr="00E17176">
        <w:rPr>
          <w:lang w:val="en-US"/>
        </w:rPr>
        <w:t xml:space="preserve"> </w:t>
      </w:r>
    </w:p>
    <w:p w14:paraId="1FCAC180" w14:textId="77777777" w:rsidR="00405882" w:rsidRDefault="00405882" w:rsidP="00405882">
      <w:pPr>
        <w:pStyle w:val="SingleTxtG"/>
        <w:ind w:left="1138" w:right="1138" w:firstLine="562"/>
        <w:rPr>
          <w:lang w:val="en-US"/>
        </w:rPr>
      </w:pPr>
      <w:r>
        <w:rPr>
          <w:lang w:val="en-US"/>
        </w:rPr>
        <w:t>(c)</w:t>
      </w:r>
      <w:r>
        <w:rPr>
          <w:lang w:val="en-US"/>
        </w:rPr>
        <w:tab/>
      </w:r>
      <w:r w:rsidRPr="00E17176">
        <w:rPr>
          <w:lang w:val="en-US"/>
        </w:rPr>
        <w:t>that the members of the Coordination Committee will ensure that matters related to gender and the diverse needs and experiences of people in affected communities are taken into account in every aspect of their work, including with regard to the implementation of the Lausanne Action Plan, under the overall leadership of the Coordinators on General Status and Operation</w:t>
      </w:r>
      <w:r>
        <w:rPr>
          <w:lang w:val="en-US"/>
        </w:rPr>
        <w:t>;</w:t>
      </w:r>
      <w:r w:rsidRPr="00E17176">
        <w:rPr>
          <w:lang w:val="en-US"/>
        </w:rPr>
        <w:t xml:space="preserve"> </w:t>
      </w:r>
    </w:p>
    <w:p w14:paraId="406E1F92" w14:textId="0DE4B2B0" w:rsidR="00405882" w:rsidRDefault="00405882" w:rsidP="00405882">
      <w:pPr>
        <w:pStyle w:val="SingleTxtG"/>
        <w:ind w:left="1138" w:right="1138" w:firstLine="562"/>
        <w:rPr>
          <w:lang w:val="en-US"/>
        </w:rPr>
      </w:pPr>
      <w:r>
        <w:rPr>
          <w:lang w:val="en-US"/>
        </w:rPr>
        <w:t>(d)</w:t>
      </w:r>
      <w:r>
        <w:rPr>
          <w:lang w:val="en-US"/>
        </w:rPr>
        <w:tab/>
      </w:r>
      <w:r w:rsidR="0051084E">
        <w:rPr>
          <w:lang w:val="en-US"/>
        </w:rPr>
        <w:t>further to</w:t>
      </w:r>
      <w:bookmarkStart w:id="0" w:name="_GoBack"/>
      <w:bookmarkEnd w:id="0"/>
      <w:r w:rsidRPr="00473AAC">
        <w:rPr>
          <w:lang w:val="en-US"/>
        </w:rPr>
        <w:t xml:space="preserve"> the decision taken by the Eight Meeting of States Parties, that the </w:t>
      </w:r>
      <w:r w:rsidRPr="00473AAC">
        <w:rPr>
          <w:i/>
          <w:lang w:val="en-US"/>
        </w:rPr>
        <w:t>ad hoc</w:t>
      </w:r>
      <w:r w:rsidRPr="00473AAC">
        <w:rPr>
          <w:lang w:val="en-US"/>
        </w:rPr>
        <w:t xml:space="preserve"> Analysis group  to consider extension requests submitted under Article 3 will comprise the Coordinators on Stockpile Destruction and Retention and the Coordinators on Internati</w:t>
      </w:r>
      <w:r w:rsidR="00FB2F7F">
        <w:rPr>
          <w:lang w:val="en-US"/>
        </w:rPr>
        <w:t>onal Cooperation and Assistance</w:t>
      </w:r>
      <w:r w:rsidRPr="00473AAC">
        <w:rPr>
          <w:lang w:val="en-US"/>
        </w:rPr>
        <w:t xml:space="preserve"> and that the  ad hoc Analysis group to consider requests submitted under Article 4 will comprise the Coordinators on Clearance and Risk educations and the Coordinators on International cooperation and assistance, that</w:t>
      </w:r>
      <w:r w:rsidRPr="00473AAC">
        <w:rPr>
          <w:i/>
          <w:lang w:val="en-US"/>
        </w:rPr>
        <w:t xml:space="preserve"> </w:t>
      </w:r>
      <w:r w:rsidRPr="00473AAC">
        <w:rPr>
          <w:lang w:val="en-US"/>
        </w:rPr>
        <w:t>representative(s) of the CCM Implementation Support Unit and other States Parties can serve in a support role, and that the Analysis Group will consult and seek expertise to assist during the analysis from a number of sources, including, but not limited to, the UN and its agencies, the International Committee of the Red Cross (ICRC), the Cluster Munition Coalition (CMC), the Geneva International Centre for Humanitarian Demining (GICHD), as well as other organizations and demining experts, as appropriate.</w:t>
      </w:r>
    </w:p>
    <w:p w14:paraId="5BBDF63C" w14:textId="77777777" w:rsidR="00405882" w:rsidRDefault="00405882" w:rsidP="00405882">
      <w:pPr>
        <w:pStyle w:val="SingleTxtG"/>
        <w:rPr>
          <w:lang w:val="en-US"/>
        </w:rPr>
      </w:pPr>
      <w:r>
        <w:rPr>
          <w:lang w:val="en-US"/>
        </w:rPr>
        <w:t>5.</w:t>
      </w:r>
      <w:r>
        <w:rPr>
          <w:lang w:val="en-US"/>
        </w:rPr>
        <w:tab/>
        <w:t>With regard to the Presidency, to take the following decisions:</w:t>
      </w:r>
    </w:p>
    <w:p w14:paraId="219C3F9B" w14:textId="77777777" w:rsidR="00405882" w:rsidRDefault="00405882" w:rsidP="00405882">
      <w:pPr>
        <w:pStyle w:val="SingleTxtG"/>
        <w:ind w:left="1138" w:right="1138" w:firstLine="562"/>
        <w:rPr>
          <w:lang w:val="en-US"/>
        </w:rPr>
      </w:pPr>
      <w:r>
        <w:rPr>
          <w:lang w:val="en-US"/>
        </w:rPr>
        <w:t>(a</w:t>
      </w:r>
      <w:r w:rsidRPr="001E043B">
        <w:rPr>
          <w:lang w:val="en-US"/>
        </w:rPr>
        <w:t>)</w:t>
      </w:r>
      <w:r>
        <w:rPr>
          <w:lang w:val="en-US"/>
        </w:rPr>
        <w:tab/>
      </w:r>
      <w:r w:rsidRPr="001E043B">
        <w:rPr>
          <w:lang w:val="en-US"/>
        </w:rPr>
        <w:t>to mandate the Presiden</w:t>
      </w:r>
      <w:r>
        <w:rPr>
          <w:lang w:val="en-US"/>
        </w:rPr>
        <w:t xml:space="preserve">t of the annual Meetings of </w:t>
      </w:r>
      <w:r w:rsidRPr="001E043B">
        <w:rPr>
          <w:lang w:val="en-US"/>
        </w:rPr>
        <w:t xml:space="preserve">States Parties: </w:t>
      </w:r>
    </w:p>
    <w:p w14:paraId="0240CEB1" w14:textId="77777777" w:rsidR="00405882" w:rsidRDefault="00405882" w:rsidP="00405882">
      <w:pPr>
        <w:pStyle w:val="SingleTxtG"/>
        <w:ind w:left="1701" w:right="1138"/>
        <w:rPr>
          <w:lang w:val="en-US"/>
        </w:rPr>
      </w:pPr>
      <w:r>
        <w:rPr>
          <w:lang w:val="en-US"/>
        </w:rPr>
        <w:t>(i)</w:t>
      </w:r>
      <w:r>
        <w:rPr>
          <w:lang w:val="en-US"/>
        </w:rPr>
        <w:tab/>
        <w:t xml:space="preserve">to follow with all the necessary diligence matters related to the United Nations assessed </w:t>
      </w:r>
      <w:r w:rsidRPr="00BD0F8F">
        <w:rPr>
          <w:lang w:val="en-US"/>
        </w:rPr>
        <w:t>contributions pursuant to Article 14 of the Convention</w:t>
      </w:r>
      <w:r>
        <w:rPr>
          <w:lang w:val="en-US"/>
        </w:rPr>
        <w:t>, including the implementation of the decisions taken by the Conference thereon;</w:t>
      </w:r>
    </w:p>
    <w:p w14:paraId="0B460451" w14:textId="77777777" w:rsidR="00405882" w:rsidRDefault="00405882" w:rsidP="00405882">
      <w:pPr>
        <w:pStyle w:val="SingleTxtG"/>
        <w:ind w:left="1701" w:right="1138"/>
        <w:rPr>
          <w:lang w:val="en-US"/>
        </w:rPr>
      </w:pPr>
      <w:r>
        <w:rPr>
          <w:lang w:val="en-US"/>
        </w:rPr>
        <w:t>(ii)</w:t>
      </w:r>
      <w:r>
        <w:rPr>
          <w:lang w:val="en-US"/>
        </w:rPr>
        <w:tab/>
        <w:t>to take all necessary steps, in cooperation with the Coordinators on universalization, to promote the implementation of the plan on accelerated implementation adopted by the Conference;</w:t>
      </w:r>
    </w:p>
    <w:p w14:paraId="18204AC2" w14:textId="2CACEA06" w:rsidR="00405882" w:rsidRDefault="00405882" w:rsidP="00405882">
      <w:pPr>
        <w:pStyle w:val="SingleTxtG"/>
        <w:ind w:left="1701" w:right="1138"/>
        <w:rPr>
          <w:lang w:val="en-US"/>
        </w:rPr>
      </w:pPr>
      <w:r>
        <w:rPr>
          <w:lang w:val="en-US"/>
        </w:rPr>
        <w:lastRenderedPageBreak/>
        <w:t>(iii)</w:t>
      </w:r>
      <w:r>
        <w:rPr>
          <w:lang w:val="en-US"/>
        </w:rPr>
        <w:tab/>
        <w:t>to</w:t>
      </w:r>
      <w:r w:rsidRPr="00EC2357">
        <w:rPr>
          <w:lang w:val="en-US"/>
        </w:rPr>
        <w:t xml:space="preserve"> assist and engage w</w:t>
      </w:r>
      <w:r>
        <w:rPr>
          <w:lang w:val="en-US"/>
        </w:rPr>
        <w:t xml:space="preserve">ith States Parties </w:t>
      </w:r>
      <w:r w:rsidRPr="00B61C11">
        <w:rPr>
          <w:lang w:val="en-US"/>
        </w:rPr>
        <w:t xml:space="preserve">implementing obligations under Article 3 or 4, or retaining or transferring cluster munitions in line with Article 3.6 and 3.7 having omitted to submit an Article 7 report </w:t>
      </w:r>
      <w:r>
        <w:rPr>
          <w:lang w:val="en-US"/>
        </w:rPr>
        <w:t xml:space="preserve">for two consecutive </w:t>
      </w:r>
      <w:r w:rsidRPr="00B61C11">
        <w:rPr>
          <w:lang w:val="en-US"/>
        </w:rPr>
        <w:t>year</w:t>
      </w:r>
      <w:r>
        <w:rPr>
          <w:lang w:val="en-US"/>
        </w:rPr>
        <w:t xml:space="preserve">s detailing progress in </w:t>
      </w:r>
      <w:r w:rsidRPr="00B61C11">
        <w:rPr>
          <w:lang w:val="en-US"/>
        </w:rPr>
        <w:t xml:space="preserve">implementing these obligations, in close cooperation with the relevant </w:t>
      </w:r>
      <w:r>
        <w:rPr>
          <w:lang w:val="en-US"/>
        </w:rPr>
        <w:t>C</w:t>
      </w:r>
      <w:r w:rsidRPr="00B61C11">
        <w:rPr>
          <w:lang w:val="en-US"/>
        </w:rPr>
        <w:t>oordinators.</w:t>
      </w:r>
    </w:p>
    <w:p w14:paraId="009AA600" w14:textId="47DEFBDB" w:rsidR="00405882" w:rsidRPr="00405882" w:rsidRDefault="00405882" w:rsidP="00405882">
      <w:pPr>
        <w:pStyle w:val="SingleTxtG"/>
        <w:spacing w:before="240" w:after="0"/>
        <w:jc w:val="center"/>
        <w:rPr>
          <w:u w:val="single"/>
          <w:lang w:val="en-US"/>
        </w:rPr>
      </w:pPr>
      <w:r>
        <w:rPr>
          <w:u w:val="single"/>
          <w:lang w:val="en-US"/>
        </w:rPr>
        <w:tab/>
      </w:r>
      <w:r>
        <w:rPr>
          <w:u w:val="single"/>
          <w:lang w:val="en-US"/>
        </w:rPr>
        <w:tab/>
      </w:r>
      <w:r>
        <w:rPr>
          <w:u w:val="single"/>
          <w:lang w:val="en-US"/>
        </w:rPr>
        <w:tab/>
      </w:r>
    </w:p>
    <w:sectPr w:rsidR="00405882" w:rsidRPr="00405882" w:rsidSect="00931D40">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056B5" w14:textId="77777777" w:rsidR="00835369" w:rsidRDefault="00835369" w:rsidP="00247E2C">
      <w:pPr>
        <w:spacing w:line="240" w:lineRule="auto"/>
      </w:pPr>
      <w:r>
        <w:separator/>
      </w:r>
    </w:p>
  </w:endnote>
  <w:endnote w:type="continuationSeparator" w:id="0">
    <w:p w14:paraId="406AE4B4" w14:textId="77777777" w:rsidR="00835369" w:rsidRDefault="00835369" w:rsidP="00247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772E1" w14:textId="3F4D7D25" w:rsidR="005D0E03" w:rsidRPr="00931D40" w:rsidRDefault="00931D40" w:rsidP="00931D40">
    <w:pPr>
      <w:pStyle w:val="Footer"/>
      <w:tabs>
        <w:tab w:val="right" w:pos="9598"/>
        <w:tab w:val="right" w:pos="9638"/>
      </w:tabs>
      <w:rPr>
        <w:sz w:val="18"/>
      </w:rPr>
    </w:pPr>
    <w:r w:rsidRPr="00931D40">
      <w:rPr>
        <w:b/>
        <w:sz w:val="18"/>
      </w:rPr>
      <w:fldChar w:fldCharType="begin"/>
    </w:r>
    <w:r w:rsidRPr="00931D40">
      <w:rPr>
        <w:b/>
        <w:sz w:val="18"/>
      </w:rPr>
      <w:instrText xml:space="preserve"> PAGE  \* MERGEFORMAT </w:instrText>
    </w:r>
    <w:r w:rsidRPr="00931D40">
      <w:rPr>
        <w:b/>
        <w:sz w:val="18"/>
      </w:rPr>
      <w:fldChar w:fldCharType="separate"/>
    </w:r>
    <w:r w:rsidR="0051084E">
      <w:rPr>
        <w:b/>
        <w:noProof/>
        <w:sz w:val="18"/>
      </w:rPr>
      <w:t>2</w:t>
    </w:r>
    <w:r w:rsidRPr="00931D40">
      <w:rPr>
        <w:b/>
        <w:sz w:val="18"/>
      </w:rPr>
      <w:fldChar w:fldCharType="end"/>
    </w:r>
    <w:r>
      <w:rPr>
        <w:sz w:val="18"/>
      </w:rPr>
      <w:tab/>
    </w:r>
    <w:r w:rsidR="005D0E03" w:rsidRPr="00931D40">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56FEB" w14:textId="5973FFDA" w:rsidR="005D0E03" w:rsidRPr="00931D40" w:rsidRDefault="00931D40" w:rsidP="00931D40">
    <w:pPr>
      <w:pStyle w:val="Footer"/>
      <w:tabs>
        <w:tab w:val="right" w:pos="9598"/>
        <w:tab w:val="right" w:pos="9638"/>
      </w:tabs>
      <w:rPr>
        <w:b/>
        <w:sz w:val="18"/>
      </w:rPr>
    </w:pPr>
    <w:r>
      <w:tab/>
    </w:r>
    <w:r w:rsidRPr="00931D40">
      <w:rPr>
        <w:b/>
        <w:sz w:val="18"/>
      </w:rPr>
      <w:fldChar w:fldCharType="begin"/>
    </w:r>
    <w:r w:rsidRPr="00931D40">
      <w:rPr>
        <w:b/>
        <w:sz w:val="18"/>
      </w:rPr>
      <w:instrText xml:space="preserve"> PAGE  \* MERGEFORMAT </w:instrText>
    </w:r>
    <w:r w:rsidRPr="00931D40">
      <w:rPr>
        <w:b/>
        <w:sz w:val="18"/>
      </w:rPr>
      <w:fldChar w:fldCharType="separate"/>
    </w:r>
    <w:r w:rsidR="0051084E">
      <w:rPr>
        <w:b/>
        <w:noProof/>
        <w:sz w:val="18"/>
      </w:rPr>
      <w:t>3</w:t>
    </w:r>
    <w:r w:rsidRPr="00931D40">
      <w:rPr>
        <w:b/>
        <w:sz w:val="18"/>
      </w:rPr>
      <w:fldChar w:fldCharType="end"/>
    </w:r>
    <w:r w:rsidR="005D0E03" w:rsidRPr="00931D40">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8059B" w14:textId="77777777" w:rsidR="00835369" w:rsidRPr="009F5CDC" w:rsidRDefault="00835369" w:rsidP="009F5CDC">
      <w:pPr>
        <w:tabs>
          <w:tab w:val="left" w:pos="2155"/>
        </w:tabs>
        <w:spacing w:before="24" w:after="80" w:line="240" w:lineRule="exact"/>
        <w:rPr>
          <w:u w:val="single"/>
        </w:rPr>
      </w:pPr>
      <w:r w:rsidRPr="009F5CDC">
        <w:rPr>
          <w:u w:val="single"/>
        </w:rPr>
        <w:tab/>
      </w:r>
    </w:p>
  </w:footnote>
  <w:footnote w:type="continuationSeparator" w:id="0">
    <w:p w14:paraId="499D9239" w14:textId="77777777" w:rsidR="00835369" w:rsidRDefault="00835369" w:rsidP="00247E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DE284" w14:textId="0B682592" w:rsidR="00931D40" w:rsidRPr="00931D40" w:rsidRDefault="001831C5">
    <w:pPr>
      <w:pStyle w:val="Header"/>
    </w:pPr>
    <w:fldSimple w:instr=" TITLE  \* MERGEFORMAT ">
      <w:r w:rsidR="00931D40">
        <w:t>CCM/CONF/2020/CRP.1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D0C32" w14:textId="2C70D4B1" w:rsidR="00931D40" w:rsidRPr="00931D40" w:rsidRDefault="001831C5" w:rsidP="00931D40">
    <w:pPr>
      <w:pStyle w:val="Header"/>
      <w:jc w:val="right"/>
    </w:pPr>
    <w:fldSimple w:instr=" TITLE  \* MERGEFORMAT ">
      <w:r w:rsidR="00931D40">
        <w:t>CCM/CONF/2020/CRP.1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6"/>
  </w:num>
  <w:num w:numId="5">
    <w:abstractNumId w:val="7"/>
  </w:num>
  <w:num w:numId="6">
    <w:abstractNumId w:val="9"/>
  </w:num>
  <w:num w:numId="7">
    <w:abstractNumId w:val="2"/>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D40"/>
    <w:rsid w:val="000266AB"/>
    <w:rsid w:val="00046E92"/>
    <w:rsid w:val="000862E4"/>
    <w:rsid w:val="000F663A"/>
    <w:rsid w:val="001831C5"/>
    <w:rsid w:val="00184464"/>
    <w:rsid w:val="001C48A3"/>
    <w:rsid w:val="00247E2C"/>
    <w:rsid w:val="00256134"/>
    <w:rsid w:val="00295748"/>
    <w:rsid w:val="002C640E"/>
    <w:rsid w:val="002D6C53"/>
    <w:rsid w:val="002F5595"/>
    <w:rsid w:val="00334F6A"/>
    <w:rsid w:val="00342AC8"/>
    <w:rsid w:val="00370A71"/>
    <w:rsid w:val="003733F8"/>
    <w:rsid w:val="003A3D59"/>
    <w:rsid w:val="003B4550"/>
    <w:rsid w:val="00400AF5"/>
    <w:rsid w:val="00405882"/>
    <w:rsid w:val="00405C27"/>
    <w:rsid w:val="00461253"/>
    <w:rsid w:val="00486E0E"/>
    <w:rsid w:val="005042C2"/>
    <w:rsid w:val="0051084E"/>
    <w:rsid w:val="005D0E03"/>
    <w:rsid w:val="0061038D"/>
    <w:rsid w:val="00671529"/>
    <w:rsid w:val="00676C08"/>
    <w:rsid w:val="00687A19"/>
    <w:rsid w:val="007268F9"/>
    <w:rsid w:val="007547D9"/>
    <w:rsid w:val="00794E85"/>
    <w:rsid w:val="007B1A80"/>
    <w:rsid w:val="007C52B0"/>
    <w:rsid w:val="007E63D1"/>
    <w:rsid w:val="00835369"/>
    <w:rsid w:val="00877ECE"/>
    <w:rsid w:val="00931D40"/>
    <w:rsid w:val="009411B4"/>
    <w:rsid w:val="0098086C"/>
    <w:rsid w:val="009D0139"/>
    <w:rsid w:val="009F5CDC"/>
    <w:rsid w:val="00A775CF"/>
    <w:rsid w:val="00AA32E9"/>
    <w:rsid w:val="00B06045"/>
    <w:rsid w:val="00B30F42"/>
    <w:rsid w:val="00C0358D"/>
    <w:rsid w:val="00C04E7E"/>
    <w:rsid w:val="00C35A27"/>
    <w:rsid w:val="00D14D9D"/>
    <w:rsid w:val="00D6623C"/>
    <w:rsid w:val="00DC4C24"/>
    <w:rsid w:val="00E02C2B"/>
    <w:rsid w:val="00E33B67"/>
    <w:rsid w:val="00E52109"/>
    <w:rsid w:val="00E75317"/>
    <w:rsid w:val="00EB03E3"/>
    <w:rsid w:val="00ED6C48"/>
    <w:rsid w:val="00F1401A"/>
    <w:rsid w:val="00F65F5D"/>
    <w:rsid w:val="00F76D67"/>
    <w:rsid w:val="00F86A3A"/>
    <w:rsid w:val="00FB2F7F"/>
    <w:rsid w:val="00FB53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687D7"/>
  <w15:docId w15:val="{E379A361-9A07-4508-82F2-D3C27702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2E9"/>
    <w:pPr>
      <w:suppressAutoHyphens/>
      <w:kinsoku w:val="0"/>
      <w:overflowPunct w:val="0"/>
      <w:autoSpaceDE w:val="0"/>
      <w:autoSpaceDN w:val="0"/>
      <w:adjustRightInd w:val="0"/>
      <w:snapToGrid w:val="0"/>
      <w:spacing w:line="240" w:lineRule="atLeast"/>
    </w:pPr>
    <w:rPr>
      <w:rFonts w:ascii="Times New Roman" w:eastAsiaTheme="minorHAnsi" w:hAnsi="Times New Roman" w:cs="Times New Roman"/>
      <w:lang w:val="en-GB"/>
    </w:rPr>
  </w:style>
  <w:style w:type="paragraph" w:styleId="Heading1">
    <w:name w:val="heading 1"/>
    <w:aliases w:val="Table_G"/>
    <w:basedOn w:val="SingleTxtG"/>
    <w:next w:val="SingleTxtG"/>
    <w:link w:val="Heading1Char"/>
    <w:qFormat/>
    <w:rsid w:val="00D6623C"/>
    <w:pPr>
      <w:keepNext/>
      <w:keepLines/>
      <w:spacing w:after="0" w:line="240" w:lineRule="auto"/>
      <w:ind w:right="0"/>
      <w:jc w:val="left"/>
      <w:outlineLvl w:val="0"/>
    </w:pPr>
  </w:style>
  <w:style w:type="paragraph" w:styleId="Heading2">
    <w:name w:val="heading 2"/>
    <w:basedOn w:val="Normal"/>
    <w:next w:val="Normal"/>
    <w:link w:val="Heading2Char"/>
    <w:semiHidden/>
    <w:qFormat/>
    <w:rsid w:val="007268F9"/>
    <w:pPr>
      <w:spacing w:line="240" w:lineRule="auto"/>
      <w:outlineLvl w:val="1"/>
    </w:pPr>
    <w:rPr>
      <w:rFonts w:eastAsia="SimSun"/>
      <w:lang w:eastAsia="zh-CN"/>
    </w:rPr>
  </w:style>
  <w:style w:type="paragraph" w:styleId="Heading3">
    <w:name w:val="heading 3"/>
    <w:basedOn w:val="Normal"/>
    <w:next w:val="Normal"/>
    <w:link w:val="Heading3Char"/>
    <w:semiHidden/>
    <w:qFormat/>
    <w:rsid w:val="007268F9"/>
    <w:pPr>
      <w:spacing w:line="240" w:lineRule="auto"/>
      <w:outlineLvl w:val="2"/>
    </w:pPr>
    <w:rPr>
      <w:rFonts w:eastAsia="SimSun"/>
      <w:lang w:eastAsia="zh-CN"/>
    </w:rPr>
  </w:style>
  <w:style w:type="paragraph" w:styleId="Heading4">
    <w:name w:val="heading 4"/>
    <w:basedOn w:val="Normal"/>
    <w:next w:val="Normal"/>
    <w:link w:val="Heading4Char"/>
    <w:semiHidden/>
    <w:qFormat/>
    <w:rsid w:val="007268F9"/>
    <w:pPr>
      <w:spacing w:line="240" w:lineRule="auto"/>
      <w:outlineLvl w:val="3"/>
    </w:pPr>
    <w:rPr>
      <w:rFonts w:eastAsia="SimSun"/>
      <w:lang w:eastAsia="zh-CN"/>
    </w:rPr>
  </w:style>
  <w:style w:type="paragraph" w:styleId="Heading5">
    <w:name w:val="heading 5"/>
    <w:basedOn w:val="Normal"/>
    <w:next w:val="Normal"/>
    <w:link w:val="Heading5Char"/>
    <w:semiHidden/>
    <w:qFormat/>
    <w:rsid w:val="007268F9"/>
    <w:pPr>
      <w:spacing w:line="240" w:lineRule="auto"/>
      <w:outlineLvl w:val="4"/>
    </w:pPr>
    <w:rPr>
      <w:rFonts w:eastAsia="SimSun"/>
      <w:lang w:eastAsia="zh-CN"/>
    </w:rPr>
  </w:style>
  <w:style w:type="paragraph" w:styleId="Heading6">
    <w:name w:val="heading 6"/>
    <w:basedOn w:val="Normal"/>
    <w:next w:val="Normal"/>
    <w:link w:val="Heading6Char"/>
    <w:semiHidden/>
    <w:qFormat/>
    <w:rsid w:val="007268F9"/>
    <w:pPr>
      <w:spacing w:line="240" w:lineRule="auto"/>
      <w:outlineLvl w:val="5"/>
    </w:pPr>
    <w:rPr>
      <w:rFonts w:eastAsia="SimSun"/>
      <w:lang w:eastAsia="zh-CN"/>
    </w:rPr>
  </w:style>
  <w:style w:type="paragraph" w:styleId="Heading7">
    <w:name w:val="heading 7"/>
    <w:basedOn w:val="Normal"/>
    <w:next w:val="Normal"/>
    <w:link w:val="Heading7Char"/>
    <w:semiHidden/>
    <w:qFormat/>
    <w:rsid w:val="007268F9"/>
    <w:pPr>
      <w:spacing w:line="240" w:lineRule="auto"/>
      <w:outlineLvl w:val="6"/>
    </w:pPr>
    <w:rPr>
      <w:rFonts w:eastAsia="SimSun"/>
      <w:lang w:eastAsia="zh-CN"/>
    </w:rPr>
  </w:style>
  <w:style w:type="paragraph" w:styleId="Heading8">
    <w:name w:val="heading 8"/>
    <w:basedOn w:val="Normal"/>
    <w:next w:val="Normal"/>
    <w:link w:val="Heading8Char"/>
    <w:semiHidden/>
    <w:qFormat/>
    <w:rsid w:val="007268F9"/>
    <w:pPr>
      <w:spacing w:line="240" w:lineRule="auto"/>
      <w:outlineLvl w:val="7"/>
    </w:pPr>
    <w:rPr>
      <w:rFonts w:eastAsia="SimSun"/>
      <w:lang w:eastAsia="zh-CN"/>
    </w:rPr>
  </w:style>
  <w:style w:type="paragraph" w:styleId="Heading9">
    <w:name w:val="heading 9"/>
    <w:basedOn w:val="Normal"/>
    <w:next w:val="Normal"/>
    <w:link w:val="Heading9Char"/>
    <w:semiHidden/>
    <w:qFormat/>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D6623C"/>
    <w:pPr>
      <w:pBdr>
        <w:bottom w:val="single" w:sz="4" w:space="4" w:color="auto"/>
      </w:pBdr>
      <w:kinsoku/>
      <w:overflowPunct/>
      <w:autoSpaceDE/>
      <w:autoSpaceDN/>
      <w:adjustRightInd/>
      <w:snapToGrid/>
      <w:spacing w:line="240" w:lineRule="auto"/>
    </w:pPr>
    <w:rPr>
      <w:rFonts w:eastAsia="Times New Roman"/>
      <w:b/>
      <w:sz w:val="18"/>
    </w:rPr>
  </w:style>
  <w:style w:type="character" w:customStyle="1" w:styleId="HeaderChar">
    <w:name w:val="Header Char"/>
    <w:aliases w:val="6_G Char"/>
    <w:basedOn w:val="DefaultParagraphFont"/>
    <w:link w:val="Header"/>
    <w:rsid w:val="00D6623C"/>
    <w:rPr>
      <w:rFonts w:ascii="Times New Roman" w:eastAsia="Times New Roman" w:hAnsi="Times New Roman" w:cs="Times New Roman"/>
      <w:b/>
      <w:sz w:val="18"/>
      <w:lang w:val="en-GB"/>
    </w:rPr>
  </w:style>
  <w:style w:type="paragraph" w:styleId="Footer">
    <w:name w:val="footer"/>
    <w:aliases w:val="3_G"/>
    <w:basedOn w:val="Normal"/>
    <w:next w:val="Normal"/>
    <w:link w:val="FooterChar"/>
    <w:qFormat/>
    <w:rsid w:val="00D6623C"/>
    <w:pPr>
      <w:spacing w:line="240" w:lineRule="auto"/>
    </w:pPr>
    <w:rPr>
      <w:sz w:val="16"/>
    </w:rPr>
  </w:style>
  <w:style w:type="character" w:customStyle="1" w:styleId="FooterChar">
    <w:name w:val="Footer Char"/>
    <w:aliases w:val="3_G Char"/>
    <w:basedOn w:val="DefaultParagraphFont"/>
    <w:link w:val="Footer"/>
    <w:rsid w:val="00D6623C"/>
    <w:rPr>
      <w:rFonts w:ascii="Times New Roman" w:eastAsiaTheme="minorHAnsi" w:hAnsi="Times New Roman" w:cs="Times New Roman"/>
      <w:sz w:val="16"/>
      <w:lang w:val="fr-CH"/>
    </w:rPr>
  </w:style>
  <w:style w:type="paragraph" w:customStyle="1" w:styleId="HMG">
    <w:name w:val="_ H __M_G"/>
    <w:basedOn w:val="Normal"/>
    <w:next w:val="Normal"/>
    <w:qFormat/>
    <w:rsid w:val="00D6623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D6623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D6623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D6623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D6623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D6623C"/>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D6623C"/>
    <w:pPr>
      <w:spacing w:after="120"/>
      <w:ind w:left="1134" w:right="1134"/>
      <w:jc w:val="both"/>
    </w:pPr>
  </w:style>
  <w:style w:type="paragraph" w:customStyle="1" w:styleId="SLG">
    <w:name w:val="__S_L_G"/>
    <w:basedOn w:val="Normal"/>
    <w:next w:val="Normal"/>
    <w:rsid w:val="00D6623C"/>
    <w:pPr>
      <w:keepNext/>
      <w:keepLines/>
      <w:spacing w:before="240" w:after="240" w:line="580" w:lineRule="exact"/>
      <w:ind w:left="1134" w:right="1134"/>
    </w:pPr>
    <w:rPr>
      <w:b/>
      <w:sz w:val="56"/>
    </w:rPr>
  </w:style>
  <w:style w:type="paragraph" w:customStyle="1" w:styleId="SMG">
    <w:name w:val="__S_M_G"/>
    <w:basedOn w:val="Normal"/>
    <w:next w:val="Normal"/>
    <w:rsid w:val="00D6623C"/>
    <w:pPr>
      <w:keepNext/>
      <w:keepLines/>
      <w:spacing w:before="240" w:after="240" w:line="420" w:lineRule="exact"/>
      <w:ind w:left="1134" w:right="1134"/>
    </w:pPr>
    <w:rPr>
      <w:b/>
      <w:sz w:val="40"/>
    </w:rPr>
  </w:style>
  <w:style w:type="paragraph" w:customStyle="1" w:styleId="SSG">
    <w:name w:val="__S_S_G"/>
    <w:basedOn w:val="Normal"/>
    <w:next w:val="Normal"/>
    <w:rsid w:val="00D6623C"/>
    <w:pPr>
      <w:keepNext/>
      <w:keepLines/>
      <w:spacing w:before="240" w:after="240" w:line="300" w:lineRule="exact"/>
      <w:ind w:left="1134" w:right="1134"/>
    </w:pPr>
    <w:rPr>
      <w:b/>
      <w:sz w:val="28"/>
    </w:rPr>
  </w:style>
  <w:style w:type="paragraph" w:customStyle="1" w:styleId="XLargeG">
    <w:name w:val="__XLarge_G"/>
    <w:basedOn w:val="Normal"/>
    <w:next w:val="Normal"/>
    <w:rsid w:val="00D6623C"/>
    <w:pPr>
      <w:keepNext/>
      <w:keepLines/>
      <w:spacing w:before="240" w:after="240" w:line="420" w:lineRule="exact"/>
      <w:ind w:left="1134" w:right="1134"/>
    </w:pPr>
    <w:rPr>
      <w:b/>
      <w:sz w:val="40"/>
    </w:rPr>
  </w:style>
  <w:style w:type="paragraph" w:customStyle="1" w:styleId="Bullet1G">
    <w:name w:val="_Bullet 1_G"/>
    <w:basedOn w:val="Normal"/>
    <w:qFormat/>
    <w:rsid w:val="00D6623C"/>
    <w:pPr>
      <w:numPr>
        <w:numId w:val="8"/>
      </w:numPr>
      <w:spacing w:after="120"/>
      <w:ind w:right="1134"/>
      <w:jc w:val="both"/>
    </w:pPr>
  </w:style>
  <w:style w:type="paragraph" w:customStyle="1" w:styleId="Bullet2G">
    <w:name w:val="_Bullet 2_G"/>
    <w:basedOn w:val="Normal"/>
    <w:qFormat/>
    <w:rsid w:val="00D6623C"/>
    <w:pPr>
      <w:numPr>
        <w:numId w:val="9"/>
      </w:numPr>
      <w:spacing w:after="120"/>
      <w:ind w:right="1134"/>
      <w:jc w:val="both"/>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basedOn w:val="FootnoteReference"/>
    <w:qFormat/>
    <w:rsid w:val="00D6623C"/>
    <w:rPr>
      <w:rFonts w:ascii="Times New Roman" w:hAnsi="Times New Roman"/>
      <w:sz w:val="18"/>
      <w:vertAlign w:val="superscript"/>
      <w:lang w:val="fr-CH"/>
    </w:rPr>
  </w:style>
  <w:style w:type="paragraph" w:styleId="FootnoteText">
    <w:name w:val="footnote text"/>
    <w:aliases w:val="5_G"/>
    <w:basedOn w:val="Normal"/>
    <w:link w:val="FootnoteTextChar"/>
    <w:qFormat/>
    <w:rsid w:val="00D6623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D6623C"/>
    <w:rPr>
      <w:rFonts w:ascii="Times New Roman" w:eastAsiaTheme="minorHAnsi" w:hAnsi="Times New Roman" w:cs="Times New Roman"/>
      <w:sz w:val="18"/>
      <w:lang w:val="fr-CH"/>
    </w:rPr>
  </w:style>
  <w:style w:type="paragraph" w:styleId="EndnoteText">
    <w:name w:val="endnote text"/>
    <w:aliases w:val="2_G"/>
    <w:basedOn w:val="FootnoteText"/>
    <w:link w:val="EndnoteTextChar"/>
    <w:qFormat/>
    <w:rsid w:val="00D6623C"/>
  </w:style>
  <w:style w:type="character" w:customStyle="1" w:styleId="EndnoteTextChar">
    <w:name w:val="Endnote Text Char"/>
    <w:aliases w:val="2_G Char"/>
    <w:basedOn w:val="DefaultParagraphFont"/>
    <w:link w:val="EndnoteText"/>
    <w:rsid w:val="00D6623C"/>
    <w:rPr>
      <w:rFonts w:ascii="Times New Roman" w:eastAsiaTheme="minorHAnsi" w:hAnsi="Times New Roman" w:cs="Times New Roman"/>
      <w:sz w:val="18"/>
      <w:lang w:val="fr-CH"/>
    </w:rPr>
  </w:style>
  <w:style w:type="character" w:styleId="FootnoteReference">
    <w:name w:val="footnote reference"/>
    <w:aliases w:val="4_G"/>
    <w:basedOn w:val="DefaultParagraphFont"/>
    <w:qFormat/>
    <w:rsid w:val="00D6623C"/>
    <w:rPr>
      <w:rFonts w:ascii="Times New Roman" w:hAnsi="Times New Roman"/>
      <w:sz w:val="18"/>
      <w:vertAlign w:val="superscript"/>
      <w:lang w:val="fr-CH"/>
    </w:rPr>
  </w:style>
  <w:style w:type="character" w:customStyle="1" w:styleId="Heading1Char">
    <w:name w:val="Heading 1 Char"/>
    <w:aliases w:val="Table_G Char"/>
    <w:basedOn w:val="DefaultParagraphFont"/>
    <w:link w:val="Heading1"/>
    <w:rsid w:val="00D6623C"/>
    <w:rPr>
      <w:rFonts w:ascii="Times New Roman" w:eastAsiaTheme="minorHAnsi" w:hAnsi="Times New Roman" w:cs="Times New Roman"/>
      <w:lang w:val="fr-CH"/>
    </w:rPr>
  </w:style>
  <w:style w:type="character" w:customStyle="1" w:styleId="Heading2Char">
    <w:name w:val="Heading 2 Char"/>
    <w:link w:val="Heading2"/>
    <w:semiHidden/>
    <w:rsid w:val="00D6623C"/>
    <w:rPr>
      <w:rFonts w:ascii="Times New Roman" w:hAnsi="Times New Roman" w:cs="Times New Roman"/>
      <w:lang w:val="en-GB" w:eastAsia="zh-CN"/>
    </w:rPr>
  </w:style>
  <w:style w:type="character" w:customStyle="1" w:styleId="Heading3Char">
    <w:name w:val="Heading 3 Char"/>
    <w:link w:val="Heading3"/>
    <w:semiHidden/>
    <w:rsid w:val="00D6623C"/>
    <w:rPr>
      <w:rFonts w:ascii="Times New Roman" w:hAnsi="Times New Roman" w:cs="Times New Roman"/>
      <w:lang w:val="en-GB" w:eastAsia="zh-CN"/>
    </w:rPr>
  </w:style>
  <w:style w:type="character" w:customStyle="1" w:styleId="Heading4Char">
    <w:name w:val="Heading 4 Char"/>
    <w:link w:val="Heading4"/>
    <w:semiHidden/>
    <w:rsid w:val="00D6623C"/>
    <w:rPr>
      <w:rFonts w:ascii="Times New Roman" w:hAnsi="Times New Roman" w:cs="Times New Roman"/>
      <w:lang w:val="en-GB" w:eastAsia="zh-CN"/>
    </w:rPr>
  </w:style>
  <w:style w:type="character" w:customStyle="1" w:styleId="Heading5Char">
    <w:name w:val="Heading 5 Char"/>
    <w:link w:val="Heading5"/>
    <w:semiHidden/>
    <w:rsid w:val="00D6623C"/>
    <w:rPr>
      <w:rFonts w:ascii="Times New Roman" w:hAnsi="Times New Roman" w:cs="Times New Roman"/>
      <w:lang w:val="en-GB" w:eastAsia="zh-CN"/>
    </w:rPr>
  </w:style>
  <w:style w:type="character" w:customStyle="1" w:styleId="Heading6Char">
    <w:name w:val="Heading 6 Char"/>
    <w:link w:val="Heading6"/>
    <w:semiHidden/>
    <w:rsid w:val="00D6623C"/>
    <w:rPr>
      <w:rFonts w:ascii="Times New Roman" w:hAnsi="Times New Roman" w:cs="Times New Roman"/>
      <w:lang w:val="en-GB" w:eastAsia="zh-CN"/>
    </w:rPr>
  </w:style>
  <w:style w:type="character" w:customStyle="1" w:styleId="Heading7Char">
    <w:name w:val="Heading 7 Char"/>
    <w:link w:val="Heading7"/>
    <w:semiHidden/>
    <w:rsid w:val="00D6623C"/>
    <w:rPr>
      <w:rFonts w:ascii="Times New Roman" w:hAnsi="Times New Roman" w:cs="Times New Roman"/>
      <w:lang w:val="en-GB" w:eastAsia="zh-CN"/>
    </w:rPr>
  </w:style>
  <w:style w:type="character" w:customStyle="1" w:styleId="Heading8Char">
    <w:name w:val="Heading 8 Char"/>
    <w:link w:val="Heading8"/>
    <w:semiHidden/>
    <w:rsid w:val="00D6623C"/>
    <w:rPr>
      <w:rFonts w:ascii="Times New Roman" w:hAnsi="Times New Roman" w:cs="Times New Roman"/>
      <w:lang w:val="en-GB" w:eastAsia="zh-CN"/>
    </w:rPr>
  </w:style>
  <w:style w:type="character" w:customStyle="1" w:styleId="Heading9Char">
    <w:name w:val="Heading 9 Char"/>
    <w:link w:val="Heading9"/>
    <w:semiHidden/>
    <w:rsid w:val="00D6623C"/>
    <w:rPr>
      <w:rFonts w:ascii="Times New Roman" w:hAnsi="Times New Roman" w:cs="Times New Roman"/>
      <w:lang w:val="en-GB" w:eastAsia="zh-CN"/>
    </w:rPr>
  </w:style>
  <w:style w:type="character" w:styleId="PageNumber">
    <w:name w:val="page number"/>
    <w:aliases w:val="7_G"/>
    <w:basedOn w:val="DefaultParagraphFont"/>
    <w:qFormat/>
    <w:rsid w:val="00D6623C"/>
    <w:rPr>
      <w:rFonts w:ascii="Times New Roman" w:hAnsi="Times New Roman"/>
      <w:b/>
      <w:sz w:val="18"/>
      <w:lang w:val="fr-CH"/>
    </w:rPr>
  </w:style>
  <w:style w:type="character" w:styleId="BookTitle">
    <w:name w:val="Book Title"/>
    <w:uiPriority w:val="33"/>
    <w:semiHidden/>
    <w:qFormat/>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52109"/>
    <w:rPr>
      <w:rFonts w:ascii="Tahoma" w:eastAsia="Times New Roman" w:hAnsi="Tahoma" w:cs="Tahoma"/>
      <w:sz w:val="16"/>
      <w:szCs w:val="16"/>
      <w:lang w:eastAsia="en-US"/>
    </w:rPr>
  </w:style>
  <w:style w:type="table" w:styleId="TableGrid">
    <w:name w:val="Table Grid"/>
    <w:basedOn w:val="TableNormal"/>
    <w:rsid w:val="00D6623C"/>
    <w:pPr>
      <w:suppressAutoHyphens/>
      <w:spacing w:line="240" w:lineRule="atLeast"/>
    </w:pPr>
    <w:rPr>
      <w:rFonts w:ascii="Times New Roman" w:eastAsiaTheme="minorHAnsi" w:hAnsi="Times New Roman" w:cs="Times New Roman"/>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D6623C"/>
    <w:rPr>
      <w:color w:val="0000FF"/>
      <w:u w:val="none"/>
    </w:rPr>
  </w:style>
  <w:style w:type="character" w:styleId="FollowedHyperlink">
    <w:name w:val="FollowedHyperlink"/>
    <w:basedOn w:val="DefaultParagraphFont"/>
    <w:semiHidden/>
    <w:rsid w:val="00D6623C"/>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acrosDCM\Word2010G\Templates\CCM\CCM_CONF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BDAFD92BDF5A489D5266585E6FE0F1" ma:contentTypeVersion="13" ma:contentTypeDescription="Create a new document." ma:contentTypeScope="" ma:versionID="329337a2f05ad7c79c1535176fef6f96">
  <xsd:schema xmlns:xsd="http://www.w3.org/2001/XMLSchema" xmlns:xs="http://www.w3.org/2001/XMLSchema" xmlns:p="http://schemas.microsoft.com/office/2006/metadata/properties" xmlns:ns2="129642f6-c076-4d70-b65b-e236dd81d611" xmlns:ns3="7f5529e0-4e5a-4f9f-a5d2-f041a58248ab" targetNamespace="http://schemas.microsoft.com/office/2006/metadata/properties" ma:root="true" ma:fieldsID="d42e0c2b4e960f58d9eacf4fe1102b5e" ns2:_="" ns3:_="">
    <xsd:import namespace="129642f6-c076-4d70-b65b-e236dd81d611"/>
    <xsd:import namespace="7f5529e0-4e5a-4f9f-a5d2-f041a58248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sqt"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642f6-c076-4d70-b65b-e236dd81d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sqt" ma:index="13" nillable="true" ma:displayName="Person or Group" ma:list="UserInfo" ma:internalName="msq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5529e0-4e5a-4f9f-a5d2-f041a58248a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sqt xmlns="129642f6-c076-4d70-b65b-e236dd81d611">
      <UserInfo>
        <DisplayName/>
        <AccountId xsi:nil="true"/>
        <AccountType/>
      </UserInfo>
    </msqt>
  </documentManagement>
</p:properties>
</file>

<file path=customXml/itemProps1.xml><?xml version="1.0" encoding="utf-8"?>
<ds:datastoreItem xmlns:ds="http://schemas.openxmlformats.org/officeDocument/2006/customXml" ds:itemID="{57DC860F-892A-4BC2-83DC-E2A90C97D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642f6-c076-4d70-b65b-e236dd81d611"/>
    <ds:schemaRef ds:uri="7f5529e0-4e5a-4f9f-a5d2-f041a5824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BCE20-3F8F-4C1C-9F0A-E7719D36DEC9}">
  <ds:schemaRefs>
    <ds:schemaRef ds:uri="http://schemas.microsoft.com/sharepoint/v3/contenttype/forms"/>
  </ds:schemaRefs>
</ds:datastoreItem>
</file>

<file path=customXml/itemProps3.xml><?xml version="1.0" encoding="utf-8"?>
<ds:datastoreItem xmlns:ds="http://schemas.openxmlformats.org/officeDocument/2006/customXml" ds:itemID="{0884CA6C-D434-4E53-ADBB-907A31469E25}">
  <ds:schemaRefs>
    <ds:schemaRef ds:uri="http://schemas.microsoft.com/office/2006/metadata/properties"/>
    <ds:schemaRef ds:uri="http://schemas.microsoft.com/office/infopath/2007/PartnerControls"/>
    <ds:schemaRef ds:uri="129642f6-c076-4d70-b65b-e236dd81d611"/>
  </ds:schemaRefs>
</ds:datastoreItem>
</file>

<file path=docProps/app.xml><?xml version="1.0" encoding="utf-8"?>
<Properties xmlns="http://schemas.openxmlformats.org/officeDocument/2006/extended-properties" xmlns:vt="http://schemas.openxmlformats.org/officeDocument/2006/docPropsVTypes">
  <Template>CCM_CONF_E.dotm</Template>
  <TotalTime>0</TotalTime>
  <Pages>3</Pages>
  <Words>879</Words>
  <Characters>5542</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CCM/CONF/2020/CRP.1</vt:lpstr>
      <vt:lpstr/>
    </vt:vector>
  </TitlesOfParts>
  <Company>DCM</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CCM/CONF/2020/CRP.1</dc:title>
  <dc:creator>Nadiya DZYUBYNSKA</dc:creator>
  <cp:lastModifiedBy>Masmejean Laurent EDA MASLT</cp:lastModifiedBy>
  <cp:revision>5</cp:revision>
  <dcterms:created xsi:type="dcterms:W3CDTF">2020-11-24T14:02:00Z</dcterms:created>
  <dcterms:modified xsi:type="dcterms:W3CDTF">2020-11-25T08:51:00Z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0x01010038BDAFD92BDF5A489D5266585E6FE0F1</vt:lpwstr>
  </property>
</Properties>
</file>